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F" w:rsidRDefault="000A09AF" w:rsidP="00D67E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PREDLOG </w:t>
      </w:r>
    </w:p>
    <w:p w:rsidR="000A09AF" w:rsidRDefault="000A09AF" w:rsidP="00D67E03">
      <w:pPr>
        <w:rPr>
          <w:rFonts w:cstheme="minorHAnsi"/>
          <w:sz w:val="24"/>
          <w:szCs w:val="24"/>
        </w:rPr>
      </w:pPr>
    </w:p>
    <w:p w:rsidR="00D67E03" w:rsidRPr="00BA5B90" w:rsidRDefault="00210452" w:rsidP="00D67E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osnovu člana  164 i </w:t>
      </w:r>
      <w:r w:rsidR="00BB0BBF">
        <w:rPr>
          <w:rFonts w:cstheme="minorHAnsi"/>
          <w:sz w:val="24"/>
          <w:szCs w:val="24"/>
        </w:rPr>
        <w:t>č</w:t>
      </w:r>
      <w:r w:rsidR="00D67E03" w:rsidRPr="00BA5B90">
        <w:rPr>
          <w:rFonts w:cstheme="minorHAnsi"/>
          <w:sz w:val="24"/>
          <w:szCs w:val="24"/>
        </w:rPr>
        <w:t>lana 240 a</w:t>
      </w:r>
      <w:r>
        <w:rPr>
          <w:rFonts w:cstheme="minorHAnsi"/>
          <w:sz w:val="24"/>
          <w:szCs w:val="24"/>
        </w:rPr>
        <w:t xml:space="preserve">, </w:t>
      </w:r>
      <w:r w:rsidR="00D67E03" w:rsidRPr="00BA5B90">
        <w:rPr>
          <w:rFonts w:cstheme="minorHAnsi"/>
          <w:sz w:val="24"/>
          <w:szCs w:val="24"/>
        </w:rPr>
        <w:t xml:space="preserve"> stav 2  Zakona o planiranju prostora i izgradnju objekata (‚‚Službeni list CG‚‚, broj 64/17</w:t>
      </w:r>
      <w:r w:rsidR="000F0047">
        <w:rPr>
          <w:rFonts w:cstheme="minorHAnsi"/>
          <w:sz w:val="24"/>
          <w:szCs w:val="24"/>
        </w:rPr>
        <w:t xml:space="preserve">, </w:t>
      </w:r>
      <w:r w:rsidR="000F0047">
        <w:rPr>
          <w:sz w:val="24"/>
          <w:szCs w:val="24"/>
        </w:rPr>
        <w:t>44/18, 63/18 i 82/20</w:t>
      </w:r>
      <w:r>
        <w:rPr>
          <w:rFonts w:cstheme="minorHAnsi"/>
          <w:sz w:val="24"/>
          <w:szCs w:val="24"/>
        </w:rPr>
        <w:t>), člana 28 i 38 stav 1 tač</w:t>
      </w:r>
      <w:r w:rsidR="00D67E03" w:rsidRPr="00BA5B90">
        <w:rPr>
          <w:rFonts w:cstheme="minorHAnsi"/>
          <w:sz w:val="24"/>
          <w:szCs w:val="24"/>
        </w:rPr>
        <w:t xml:space="preserve">ka 2 i 8 </w:t>
      </w:r>
      <w:r w:rsidR="002912D7" w:rsidRPr="00BA5B90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akona o lokalnoj samoupravi (</w:t>
      </w:r>
      <w:r w:rsidR="00D67E03" w:rsidRPr="00BA5B90">
        <w:rPr>
          <w:rFonts w:cstheme="minorHAnsi"/>
          <w:sz w:val="24"/>
          <w:szCs w:val="24"/>
        </w:rPr>
        <w:t>``Slu</w:t>
      </w:r>
      <w:r w:rsidR="002912D7" w:rsidRPr="00BA5B90">
        <w:rPr>
          <w:rFonts w:cstheme="minorHAnsi"/>
          <w:sz w:val="24"/>
          <w:szCs w:val="24"/>
        </w:rPr>
        <w:t>ž</w:t>
      </w:r>
      <w:r w:rsidR="00D67E03" w:rsidRPr="00BA5B90">
        <w:rPr>
          <w:rFonts w:cstheme="minorHAnsi"/>
          <w:sz w:val="24"/>
          <w:szCs w:val="24"/>
        </w:rPr>
        <w:t xml:space="preserve">beni list CG``, broj 2/18, 34/19 i 28/20), člana   </w:t>
      </w:r>
      <w:r w:rsidR="002912D7" w:rsidRPr="00BA5B90">
        <w:rPr>
          <w:rFonts w:cstheme="minorHAnsi"/>
          <w:sz w:val="24"/>
          <w:szCs w:val="24"/>
        </w:rPr>
        <w:t>35</w:t>
      </w:r>
      <w:r w:rsidR="00D67E03" w:rsidRPr="00BA5B90">
        <w:rPr>
          <w:rFonts w:cstheme="minorHAnsi"/>
          <w:sz w:val="24"/>
          <w:szCs w:val="24"/>
        </w:rPr>
        <w:t xml:space="preserve">   Statuta Opštine Andrijevica (‚‚Službeni list CG – opštinski propisi‚‚  broj     </w:t>
      </w:r>
      <w:r w:rsidR="002912D7" w:rsidRPr="00BA5B90">
        <w:rPr>
          <w:rFonts w:cstheme="minorHAnsi"/>
          <w:sz w:val="24"/>
          <w:szCs w:val="24"/>
        </w:rPr>
        <w:t>32/18</w:t>
      </w:r>
      <w:r w:rsidR="00D67E03" w:rsidRPr="00BA5B90">
        <w:rPr>
          <w:rFonts w:cstheme="minorHAnsi"/>
          <w:sz w:val="24"/>
          <w:szCs w:val="24"/>
        </w:rPr>
        <w:t xml:space="preserve">), Skupština opštine Andrijevica, uz prethodnu saglasnost Ministarstva </w:t>
      </w:r>
      <w:r w:rsidR="000F6C04">
        <w:rPr>
          <w:rFonts w:cstheme="minorHAnsi"/>
          <w:sz w:val="24"/>
          <w:szCs w:val="24"/>
        </w:rPr>
        <w:t xml:space="preserve">ekologije, </w:t>
      </w:r>
      <w:r w:rsidR="002912D7" w:rsidRPr="00BA5B90">
        <w:rPr>
          <w:rFonts w:cstheme="minorHAnsi"/>
          <w:sz w:val="24"/>
          <w:szCs w:val="24"/>
        </w:rPr>
        <w:t xml:space="preserve"> prostornog planiranja</w:t>
      </w:r>
      <w:r w:rsidR="000F6C04">
        <w:rPr>
          <w:rFonts w:cstheme="minorHAnsi"/>
          <w:sz w:val="24"/>
          <w:szCs w:val="24"/>
        </w:rPr>
        <w:t xml:space="preserve"> i urbanizma </w:t>
      </w:r>
      <w:r>
        <w:rPr>
          <w:rFonts w:cstheme="minorHAnsi"/>
          <w:sz w:val="24"/>
          <w:szCs w:val="24"/>
        </w:rPr>
        <w:t xml:space="preserve"> </w:t>
      </w:r>
      <w:r w:rsidR="00D67E03" w:rsidRPr="00BA5B90">
        <w:rPr>
          <w:rFonts w:cstheme="minorHAnsi"/>
          <w:sz w:val="24"/>
          <w:szCs w:val="24"/>
        </w:rPr>
        <w:t xml:space="preserve">broj, od ____________na sjednici održanoj  ____________2021. </w:t>
      </w:r>
      <w:proofErr w:type="gramStart"/>
      <w:r w:rsidR="004C6035">
        <w:rPr>
          <w:rFonts w:cstheme="minorHAnsi"/>
          <w:sz w:val="24"/>
          <w:szCs w:val="24"/>
        </w:rPr>
        <w:t>g</w:t>
      </w:r>
      <w:r w:rsidR="00D67E03" w:rsidRPr="00BA5B90">
        <w:rPr>
          <w:rFonts w:cstheme="minorHAnsi"/>
          <w:sz w:val="24"/>
          <w:szCs w:val="24"/>
        </w:rPr>
        <w:t>odine</w:t>
      </w:r>
      <w:proofErr w:type="gramEnd"/>
      <w:r w:rsidR="00D67E03" w:rsidRPr="00BA5B90">
        <w:rPr>
          <w:rFonts w:cstheme="minorHAnsi"/>
          <w:sz w:val="24"/>
          <w:szCs w:val="24"/>
        </w:rPr>
        <w:t xml:space="preserve">, donijela je </w:t>
      </w:r>
    </w:p>
    <w:p w:rsidR="00BA5B90" w:rsidRPr="00BA5B90" w:rsidRDefault="00BA5B90" w:rsidP="00D67E03">
      <w:pPr>
        <w:rPr>
          <w:rFonts w:cstheme="minorHAnsi"/>
          <w:sz w:val="24"/>
          <w:szCs w:val="24"/>
        </w:rPr>
      </w:pPr>
    </w:p>
    <w:p w:rsidR="00BA5B90" w:rsidRPr="00BA5B90" w:rsidRDefault="00D67E03" w:rsidP="00BA5B9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5B90">
        <w:rPr>
          <w:rFonts w:cstheme="minorHAnsi"/>
          <w:b/>
          <w:sz w:val="28"/>
          <w:szCs w:val="28"/>
        </w:rPr>
        <w:t xml:space="preserve">O D L U K U </w:t>
      </w:r>
    </w:p>
    <w:p w:rsidR="008C1114" w:rsidRPr="00BA5B90" w:rsidRDefault="00D67E03" w:rsidP="00BA5B9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5B90">
        <w:rPr>
          <w:rFonts w:cstheme="minorHAnsi"/>
          <w:b/>
          <w:sz w:val="28"/>
          <w:szCs w:val="28"/>
        </w:rPr>
        <w:t xml:space="preserve">O naknadi za urbanu sanaciju </w:t>
      </w:r>
    </w:p>
    <w:p w:rsidR="00D67E03" w:rsidRPr="00BA5B90" w:rsidRDefault="00D67E03" w:rsidP="00D67E03">
      <w:pPr>
        <w:rPr>
          <w:rFonts w:cstheme="minorHAnsi"/>
          <w:b/>
          <w:sz w:val="24"/>
          <w:szCs w:val="24"/>
        </w:rPr>
      </w:pPr>
    </w:p>
    <w:p w:rsidR="00D67E03" w:rsidRPr="00BA5B90" w:rsidRDefault="00D67E03" w:rsidP="00BA5B90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I OSNOVNE ODREDBE</w:t>
      </w:r>
    </w:p>
    <w:p w:rsidR="00D67E03" w:rsidRPr="00BA5B90" w:rsidRDefault="005235B6" w:rsidP="005235B6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1 </w:t>
      </w:r>
    </w:p>
    <w:p w:rsidR="005235B6" w:rsidRPr="00BA5B90" w:rsidRDefault="005235B6" w:rsidP="005235B6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Ovom odlukom propisuju se visina, uslovi, način, rokovi i postupak plaćanja naknade za urbanu sanaciju građevinskog zemljišta za bespravne objekte (u daljem tekstu: naknada). </w:t>
      </w:r>
    </w:p>
    <w:p w:rsidR="005235B6" w:rsidRPr="00BA5B90" w:rsidRDefault="005235B6" w:rsidP="00BA5B90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Rodna senzitivnost</w:t>
      </w:r>
    </w:p>
    <w:p w:rsidR="005235B6" w:rsidRPr="00BA5B90" w:rsidRDefault="005235B6" w:rsidP="005235B6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2 </w:t>
      </w:r>
    </w:p>
    <w:p w:rsidR="000A09AF" w:rsidRDefault="005235B6" w:rsidP="000A09AF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Izrazi koji se u ovoj odluci k</w:t>
      </w:r>
      <w:r w:rsidR="004C6035">
        <w:rPr>
          <w:rFonts w:cstheme="minorHAnsi"/>
          <w:sz w:val="24"/>
          <w:szCs w:val="24"/>
        </w:rPr>
        <w:t>oriste za fizička lica u muškom</w:t>
      </w:r>
      <w:r w:rsidRPr="00BA5B90">
        <w:rPr>
          <w:rFonts w:cstheme="minorHAnsi"/>
          <w:sz w:val="24"/>
          <w:szCs w:val="24"/>
        </w:rPr>
        <w:t xml:space="preserve"> rodu podrazumijevaju iste izraze u ženskom roku.</w:t>
      </w:r>
      <w:proofErr w:type="gramEnd"/>
    </w:p>
    <w:p w:rsidR="000A09AF" w:rsidRDefault="000A09AF" w:rsidP="000A09A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5235B6" w:rsidRPr="00BA5B90">
        <w:rPr>
          <w:rFonts w:cstheme="minorHAnsi"/>
          <w:b/>
          <w:sz w:val="24"/>
          <w:szCs w:val="24"/>
        </w:rPr>
        <w:t>II USLOVI I VISINA</w:t>
      </w:r>
    </w:p>
    <w:p w:rsidR="005235B6" w:rsidRPr="00BA5B90" w:rsidRDefault="000A09AF" w:rsidP="000A09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="005235B6" w:rsidRPr="00BA5B90">
        <w:rPr>
          <w:rFonts w:cstheme="minorHAnsi"/>
          <w:b/>
          <w:sz w:val="24"/>
          <w:szCs w:val="24"/>
        </w:rPr>
        <w:t xml:space="preserve">Član 3 </w:t>
      </w:r>
    </w:p>
    <w:p w:rsidR="005235B6" w:rsidRPr="00BA5B90" w:rsidRDefault="00394999" w:rsidP="005235B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Naknadu p</w:t>
      </w:r>
      <w:r w:rsidR="005235B6" w:rsidRPr="00BA5B90">
        <w:rPr>
          <w:rFonts w:cstheme="minorHAnsi"/>
          <w:sz w:val="24"/>
          <w:szCs w:val="24"/>
        </w:rPr>
        <w:t>laća vlasnik bespravnog objekta.</w:t>
      </w:r>
      <w:proofErr w:type="gramEnd"/>
    </w:p>
    <w:p w:rsidR="005235B6" w:rsidRDefault="005235B6" w:rsidP="005235B6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Visina naknade se obračunava po m2 neto površine bespra</w:t>
      </w:r>
      <w:r w:rsidR="000A09AF">
        <w:rPr>
          <w:rFonts w:cstheme="minorHAnsi"/>
          <w:sz w:val="24"/>
          <w:szCs w:val="24"/>
        </w:rPr>
        <w:t xml:space="preserve">vnog </w:t>
      </w:r>
      <w:proofErr w:type="gramStart"/>
      <w:r w:rsidR="000A09AF">
        <w:rPr>
          <w:rFonts w:cstheme="minorHAnsi"/>
          <w:sz w:val="24"/>
          <w:szCs w:val="24"/>
        </w:rPr>
        <w:t xml:space="preserve">objekita </w:t>
      </w:r>
      <w:r w:rsidRPr="00BA5B90">
        <w:rPr>
          <w:rFonts w:cstheme="minorHAnsi"/>
          <w:sz w:val="24"/>
          <w:szCs w:val="24"/>
        </w:rPr>
        <w:t>,</w:t>
      </w:r>
      <w:proofErr w:type="gramEnd"/>
      <w:r w:rsidRPr="00BA5B90">
        <w:rPr>
          <w:rFonts w:cstheme="minorHAnsi"/>
          <w:sz w:val="24"/>
          <w:szCs w:val="24"/>
        </w:rPr>
        <w:t xml:space="preserve"> na osnovu </w:t>
      </w:r>
      <w:r w:rsidR="000A09AF">
        <w:rPr>
          <w:rFonts w:cstheme="minorHAnsi"/>
          <w:sz w:val="24"/>
          <w:szCs w:val="24"/>
        </w:rPr>
        <w:t>elaborata</w:t>
      </w:r>
      <w:r w:rsidR="004C6035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>pre</w:t>
      </w:r>
      <w:r w:rsidR="004C6035">
        <w:rPr>
          <w:rFonts w:cstheme="minorHAnsi"/>
          <w:sz w:val="24"/>
          <w:szCs w:val="24"/>
        </w:rPr>
        <w:t>d</w:t>
      </w:r>
      <w:r w:rsidRPr="00BA5B90">
        <w:rPr>
          <w:rFonts w:cstheme="minorHAnsi"/>
          <w:sz w:val="24"/>
          <w:szCs w:val="24"/>
        </w:rPr>
        <w:t>mjera izvedenog stanja izgrađenog objekta ili dijela objekta, izrađenog od strane licencirane geodetske organizacije i ovjerenog od strane Kat</w:t>
      </w:r>
      <w:r w:rsidR="004C6035">
        <w:rPr>
          <w:rFonts w:cstheme="minorHAnsi"/>
          <w:sz w:val="24"/>
          <w:szCs w:val="24"/>
        </w:rPr>
        <w:t>a</w:t>
      </w:r>
      <w:r w:rsidRPr="00BA5B90">
        <w:rPr>
          <w:rFonts w:cstheme="minorHAnsi"/>
          <w:sz w:val="24"/>
          <w:szCs w:val="24"/>
        </w:rPr>
        <w:t>stra.</w:t>
      </w:r>
    </w:p>
    <w:p w:rsidR="000A09AF" w:rsidRPr="00BA5B90" w:rsidRDefault="000A09AF" w:rsidP="005235B6">
      <w:pPr>
        <w:rPr>
          <w:rFonts w:cstheme="minorHAnsi"/>
          <w:sz w:val="24"/>
          <w:szCs w:val="24"/>
        </w:rPr>
      </w:pPr>
    </w:p>
    <w:p w:rsidR="00394999" w:rsidRDefault="00394999" w:rsidP="005235B6">
      <w:pPr>
        <w:jc w:val="center"/>
        <w:rPr>
          <w:rFonts w:cstheme="minorHAnsi"/>
          <w:b/>
          <w:sz w:val="24"/>
          <w:szCs w:val="24"/>
        </w:rPr>
      </w:pPr>
    </w:p>
    <w:p w:rsidR="005235B6" w:rsidRPr="00BA5B90" w:rsidRDefault="005235B6" w:rsidP="005235B6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lastRenderedPageBreak/>
        <w:t xml:space="preserve">Član 4 </w:t>
      </w:r>
    </w:p>
    <w:p w:rsidR="005235B6" w:rsidRPr="00BA5B90" w:rsidRDefault="005235B6" w:rsidP="005235B6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Visina naknade se utvrđuje u zavisnosti od zone, stepena opremljenosti građevinskog zemljišta</w:t>
      </w:r>
      <w:proofErr w:type="gramStart"/>
      <w:r w:rsidRPr="00BA5B90">
        <w:rPr>
          <w:rFonts w:cstheme="minorHAnsi"/>
          <w:sz w:val="24"/>
          <w:szCs w:val="24"/>
        </w:rPr>
        <w:t>,,</w:t>
      </w:r>
      <w:proofErr w:type="gramEnd"/>
      <w:r w:rsidRPr="00BA5B90">
        <w:rPr>
          <w:rFonts w:cstheme="minorHAnsi"/>
          <w:sz w:val="24"/>
          <w:szCs w:val="24"/>
        </w:rPr>
        <w:t xml:space="preserve"> prosječnih troškova opremanja građevinskog zemljišta, načina plaćanja utvrđenog iznosa naknade i vrste i namjene objekta. </w:t>
      </w:r>
    </w:p>
    <w:p w:rsidR="005235B6" w:rsidRPr="00BA5B90" w:rsidRDefault="005235B6" w:rsidP="005235B6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5 </w:t>
      </w:r>
    </w:p>
    <w:p w:rsidR="005235B6" w:rsidRPr="00BA5B90" w:rsidRDefault="005235B6" w:rsidP="005235B6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Granice zona utvrđene su</w:t>
      </w:r>
      <w:r w:rsidR="00372E7B">
        <w:rPr>
          <w:rFonts w:cstheme="minorHAnsi"/>
          <w:sz w:val="24"/>
          <w:szCs w:val="24"/>
        </w:rPr>
        <w:t xml:space="preserve"> </w:t>
      </w:r>
      <w:proofErr w:type="gramStart"/>
      <w:r w:rsidRPr="00BA5B90">
        <w:rPr>
          <w:rFonts w:cstheme="minorHAnsi"/>
          <w:sz w:val="24"/>
          <w:szCs w:val="24"/>
        </w:rPr>
        <w:t>na</w:t>
      </w:r>
      <w:proofErr w:type="gramEnd"/>
      <w:r w:rsidRPr="00BA5B90">
        <w:rPr>
          <w:rFonts w:cstheme="minorHAnsi"/>
          <w:sz w:val="24"/>
          <w:szCs w:val="24"/>
        </w:rPr>
        <w:t xml:space="preserve"> osnovu zahvata planskih dokumenata, u skladu sa grafičkim prilogom, koji je sastavni dio ove odluke, i to: </w:t>
      </w:r>
    </w:p>
    <w:p w:rsidR="005235B6" w:rsidRPr="00BA5B90" w:rsidRDefault="00D54504" w:rsidP="00D545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ZONA 1</w:t>
      </w:r>
      <w:r w:rsidR="0098474D">
        <w:rPr>
          <w:rFonts w:cstheme="minorHAnsi"/>
          <w:sz w:val="24"/>
          <w:szCs w:val="24"/>
        </w:rPr>
        <w:t xml:space="preserve"> obuhvata pros</w:t>
      </w:r>
      <w:r w:rsidRPr="00BA5B90">
        <w:rPr>
          <w:rFonts w:cstheme="minorHAnsi"/>
          <w:sz w:val="24"/>
          <w:szCs w:val="24"/>
        </w:rPr>
        <w:t xml:space="preserve">tor od raskrsnice prema bivšoj ZZ ‘’Andrijevica’’ do Benzinske </w:t>
      </w:r>
      <w:proofErr w:type="gramStart"/>
      <w:r w:rsidRPr="00BA5B90">
        <w:rPr>
          <w:rFonts w:cstheme="minorHAnsi"/>
          <w:sz w:val="24"/>
          <w:szCs w:val="24"/>
        </w:rPr>
        <w:t>pumpe ,</w:t>
      </w:r>
      <w:proofErr w:type="gramEnd"/>
      <w:r w:rsidRPr="00BA5B90">
        <w:rPr>
          <w:rFonts w:cstheme="minorHAnsi"/>
          <w:sz w:val="24"/>
          <w:szCs w:val="24"/>
        </w:rPr>
        <w:t xml:space="preserve"> istočno  od raskrsnice do ‘’solitera’’, onda u pravcu sjevera</w:t>
      </w:r>
      <w:r w:rsidR="00210452">
        <w:rPr>
          <w:rFonts w:cstheme="minorHAnsi"/>
          <w:sz w:val="24"/>
          <w:szCs w:val="24"/>
        </w:rPr>
        <w:t>:</w:t>
      </w:r>
      <w:r w:rsidRPr="00BA5B90">
        <w:rPr>
          <w:rFonts w:cstheme="minorHAnsi"/>
          <w:sz w:val="24"/>
          <w:szCs w:val="24"/>
        </w:rPr>
        <w:t xml:space="preserve"> ispod ‘’solitera’’, zgrade opštine i stambenih zgrada i zapadno do Benzinske pumpe, od raskrsnice zapadno do puta za Božiće, obuhvatajući zelenu pijacu i poslovne objekte, a onda u </w:t>
      </w:r>
      <w:r w:rsidR="00210452">
        <w:rPr>
          <w:rFonts w:cstheme="minorHAnsi"/>
          <w:sz w:val="24"/>
          <w:szCs w:val="24"/>
        </w:rPr>
        <w:t xml:space="preserve">pravcu sjevera paralelno sa ulicom </w:t>
      </w:r>
      <w:r w:rsidRPr="00BA5B90">
        <w:rPr>
          <w:rFonts w:cstheme="minorHAnsi"/>
          <w:sz w:val="24"/>
          <w:szCs w:val="24"/>
        </w:rPr>
        <w:t xml:space="preserve"> ‘’Branka Deletića’’ do iznad</w:t>
      </w:r>
      <w:r w:rsidR="0098474D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pa istočno do  benzinske pumpe. </w:t>
      </w:r>
    </w:p>
    <w:p w:rsidR="002912D7" w:rsidRPr="00BA5B90" w:rsidRDefault="002912D7" w:rsidP="002912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CS"/>
        </w:rPr>
      </w:pPr>
      <w:r w:rsidRPr="00BA5B90">
        <w:rPr>
          <w:rFonts w:cstheme="minorHAnsi"/>
          <w:sz w:val="24"/>
          <w:szCs w:val="24"/>
          <w:lang w:val="sr-Latn-CS"/>
        </w:rPr>
        <w:t xml:space="preserve">Prostor planine Jelovice počinje od mjesta </w:t>
      </w:r>
      <w:r w:rsidR="00210452">
        <w:rPr>
          <w:rFonts w:cstheme="minorHAnsi"/>
          <w:sz w:val="24"/>
          <w:szCs w:val="24"/>
          <w:lang w:val="sr-Latn-CS"/>
        </w:rPr>
        <w:t>’’</w:t>
      </w:r>
      <w:r w:rsidRPr="00BA5B90">
        <w:rPr>
          <w:rFonts w:cstheme="minorHAnsi"/>
          <w:sz w:val="24"/>
          <w:szCs w:val="24"/>
          <w:lang w:val="sr-Latn-CS"/>
        </w:rPr>
        <w:t>Idžov izvor</w:t>
      </w:r>
      <w:r w:rsidR="00210452">
        <w:rPr>
          <w:rFonts w:cstheme="minorHAnsi"/>
          <w:sz w:val="24"/>
          <w:szCs w:val="24"/>
          <w:lang w:val="sr-Latn-CS"/>
        </w:rPr>
        <w:t>’’</w:t>
      </w:r>
      <w:r w:rsidRPr="00BA5B90">
        <w:rPr>
          <w:rFonts w:cstheme="minorHAnsi"/>
          <w:sz w:val="24"/>
          <w:szCs w:val="24"/>
          <w:lang w:val="sr-Latn-CS"/>
        </w:rPr>
        <w:t xml:space="preserve"> koji se nalazi pored šumskog puta (broj 1337)</w:t>
      </w:r>
      <w:r w:rsidR="00210452">
        <w:rPr>
          <w:rFonts w:cstheme="minorHAnsi"/>
          <w:sz w:val="24"/>
          <w:szCs w:val="24"/>
          <w:lang w:val="sr-Latn-CS"/>
        </w:rPr>
        <w:t xml:space="preserve"> </w:t>
      </w:r>
      <w:r w:rsidRPr="00BA5B90">
        <w:rPr>
          <w:rFonts w:cstheme="minorHAnsi"/>
          <w:sz w:val="24"/>
          <w:szCs w:val="24"/>
          <w:lang w:val="sr-Latn-CS"/>
        </w:rPr>
        <w:t>i nastavlja istim putem dal</w:t>
      </w:r>
      <w:r w:rsidR="00210452">
        <w:rPr>
          <w:rFonts w:cstheme="minorHAnsi"/>
          <w:sz w:val="24"/>
          <w:szCs w:val="24"/>
          <w:lang w:val="sr-Latn-CS"/>
        </w:rPr>
        <w:t>je istočno sve do parcele 641/2</w:t>
      </w:r>
      <w:r w:rsidRPr="00BA5B90">
        <w:rPr>
          <w:rFonts w:cstheme="minorHAnsi"/>
          <w:sz w:val="24"/>
          <w:szCs w:val="24"/>
          <w:lang w:val="sr-Latn-CS"/>
        </w:rPr>
        <w:t xml:space="preserve"> koju obuhvata</w:t>
      </w:r>
      <w:r w:rsidR="00210452">
        <w:rPr>
          <w:rFonts w:cstheme="minorHAnsi"/>
          <w:sz w:val="24"/>
          <w:szCs w:val="24"/>
          <w:lang w:val="sr-Latn-CS"/>
        </w:rPr>
        <w:t xml:space="preserve">, </w:t>
      </w:r>
      <w:r w:rsidRPr="00BA5B90">
        <w:rPr>
          <w:rFonts w:cstheme="minorHAnsi"/>
          <w:sz w:val="24"/>
          <w:szCs w:val="24"/>
          <w:lang w:val="sr-Latn-CS"/>
        </w:rPr>
        <w:t xml:space="preserve"> kao i parcele broj 656; 657; 658; 660; 662; 669; 670; 680; 681; 682; 678; 676; 677 i 636 , a onda rijekom Krivuljskom nizvodno do uliva iste u rijeku Kurmariju i dalje njom nizvodno do parcele broj 521 koju obuhvata, a zatim nastavlja sjeverozapadno opštinskom granicom sve do parcele 154 izuzimajući je , zatim ivicama parcela 155/1; 158/1; 160/1; 162/5; 164/1; 166/1; 168/1; 170/1; 169/3; 171/2; 172/1; 174/3; 175/1; 174/2; 178/1; 180/1; 182/1; 184; 188/1; 190; 193; 194; 195; 197/3</w:t>
      </w:r>
      <w:r w:rsidR="00210452">
        <w:rPr>
          <w:rFonts w:cstheme="minorHAnsi"/>
          <w:sz w:val="24"/>
          <w:szCs w:val="24"/>
          <w:lang w:val="sr-Latn-CS"/>
        </w:rPr>
        <w:t xml:space="preserve"> i 196</w:t>
      </w:r>
      <w:r w:rsidRPr="00BA5B90">
        <w:rPr>
          <w:rFonts w:cstheme="minorHAnsi"/>
          <w:sz w:val="24"/>
          <w:szCs w:val="24"/>
          <w:lang w:val="sr-Latn-CS"/>
        </w:rPr>
        <w:t xml:space="preserve"> obuhvatajući  ih</w:t>
      </w:r>
      <w:r w:rsidR="00210452">
        <w:rPr>
          <w:rFonts w:cstheme="minorHAnsi"/>
          <w:sz w:val="24"/>
          <w:szCs w:val="24"/>
          <w:lang w:val="sr-Latn-CS"/>
        </w:rPr>
        <w:t xml:space="preserve">, </w:t>
      </w:r>
      <w:r w:rsidRPr="00BA5B90">
        <w:rPr>
          <w:rFonts w:cstheme="minorHAnsi"/>
          <w:sz w:val="24"/>
          <w:szCs w:val="24"/>
          <w:lang w:val="sr-Latn-CS"/>
        </w:rPr>
        <w:t xml:space="preserve"> i onda južno ivicama parcela197/6 i 213/3 obuhvatajući  iste</w:t>
      </w:r>
      <w:r w:rsidR="00210452">
        <w:rPr>
          <w:rFonts w:cstheme="minorHAnsi"/>
          <w:sz w:val="24"/>
          <w:szCs w:val="24"/>
          <w:lang w:val="sr-Latn-CS"/>
        </w:rPr>
        <w:t xml:space="preserve">, </w:t>
      </w:r>
      <w:r w:rsidRPr="00BA5B90">
        <w:rPr>
          <w:rFonts w:cstheme="minorHAnsi"/>
          <w:sz w:val="24"/>
          <w:szCs w:val="24"/>
          <w:lang w:val="sr-Latn-CS"/>
        </w:rPr>
        <w:t xml:space="preserve"> zatim pored tunela  i ide južno starim putem prema Kolašinu do</w:t>
      </w:r>
      <w:r w:rsidR="00210452">
        <w:rPr>
          <w:rFonts w:cstheme="minorHAnsi"/>
          <w:sz w:val="24"/>
          <w:szCs w:val="24"/>
          <w:lang w:val="sr-Latn-CS"/>
        </w:rPr>
        <w:t xml:space="preserve"> </w:t>
      </w:r>
      <w:r w:rsidRPr="00BA5B90">
        <w:rPr>
          <w:rFonts w:cstheme="minorHAnsi"/>
          <w:sz w:val="24"/>
          <w:szCs w:val="24"/>
          <w:lang w:val="sr-Latn-CS"/>
        </w:rPr>
        <w:t>šumskog puta</w:t>
      </w:r>
      <w:r w:rsidR="00210452">
        <w:rPr>
          <w:rFonts w:cstheme="minorHAnsi"/>
          <w:sz w:val="24"/>
          <w:szCs w:val="24"/>
          <w:lang w:val="sr-Latn-CS"/>
        </w:rPr>
        <w:t xml:space="preserve"> </w:t>
      </w:r>
      <w:r w:rsidRPr="00BA5B90">
        <w:rPr>
          <w:rFonts w:cstheme="minorHAnsi"/>
          <w:sz w:val="24"/>
          <w:szCs w:val="24"/>
          <w:lang w:val="sr-Latn-CS"/>
        </w:rPr>
        <w:t>(broj 1337),</w:t>
      </w:r>
      <w:r w:rsidR="00210452">
        <w:rPr>
          <w:rFonts w:cstheme="minorHAnsi"/>
          <w:sz w:val="24"/>
          <w:szCs w:val="24"/>
          <w:lang w:val="sr-Latn-CS"/>
        </w:rPr>
        <w:t xml:space="preserve"> </w:t>
      </w:r>
      <w:r w:rsidRPr="00BA5B90">
        <w:rPr>
          <w:rFonts w:cstheme="minorHAnsi"/>
          <w:sz w:val="24"/>
          <w:szCs w:val="24"/>
          <w:lang w:val="sr-Latn-CS"/>
        </w:rPr>
        <w:t xml:space="preserve">a onda putem do početne tačke </w:t>
      </w:r>
      <w:r w:rsidR="00210452">
        <w:rPr>
          <w:rFonts w:cstheme="minorHAnsi"/>
          <w:sz w:val="24"/>
          <w:szCs w:val="24"/>
          <w:lang w:val="sr-Latn-CS"/>
        </w:rPr>
        <w:t>’’</w:t>
      </w:r>
      <w:r w:rsidRPr="00BA5B90">
        <w:rPr>
          <w:rFonts w:cstheme="minorHAnsi"/>
          <w:sz w:val="24"/>
          <w:szCs w:val="24"/>
          <w:lang w:val="sr-Latn-CS"/>
        </w:rPr>
        <w:t>Idžov izvor</w:t>
      </w:r>
      <w:r w:rsidR="00210452">
        <w:rPr>
          <w:rFonts w:cstheme="minorHAnsi"/>
          <w:sz w:val="24"/>
          <w:szCs w:val="24"/>
          <w:lang w:val="sr-Latn-CS"/>
        </w:rPr>
        <w:t>’’</w:t>
      </w:r>
      <w:r w:rsidRPr="00BA5B90">
        <w:rPr>
          <w:rFonts w:cstheme="minorHAnsi"/>
          <w:sz w:val="24"/>
          <w:szCs w:val="24"/>
          <w:lang w:val="sr-Latn-CS"/>
        </w:rPr>
        <w:t xml:space="preserve">.  </w:t>
      </w:r>
    </w:p>
    <w:p w:rsidR="002912D7" w:rsidRPr="00BA5B90" w:rsidRDefault="002912D7" w:rsidP="002912D7">
      <w:pPr>
        <w:pStyle w:val="ListParagraph"/>
        <w:rPr>
          <w:rFonts w:cstheme="minorHAnsi"/>
          <w:sz w:val="24"/>
          <w:szCs w:val="24"/>
        </w:rPr>
      </w:pPr>
    </w:p>
    <w:p w:rsidR="00822AAC" w:rsidRDefault="00822AAC" w:rsidP="00D545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ZONA 2</w:t>
      </w:r>
      <w:r w:rsidRPr="00BA5B90">
        <w:rPr>
          <w:rFonts w:cstheme="minorHAnsi"/>
          <w:sz w:val="24"/>
          <w:szCs w:val="24"/>
        </w:rPr>
        <w:t xml:space="preserve">   obuhvata pro</w:t>
      </w:r>
      <w:r w:rsidR="00210452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 xml:space="preserve">tor koji se nalazi od mosta na rijeci Zlorečici na regionalnom putu Andrijevica – Murino, a zatim ide nizvodno rijekom Zlorečicom ispod ‘’stare Andrijevice’’ do škole i pored trafostanice izlazi na </w:t>
      </w:r>
      <w:proofErr w:type="gramStart"/>
      <w:r w:rsidRPr="00BA5B90">
        <w:rPr>
          <w:rFonts w:cstheme="minorHAnsi"/>
          <w:sz w:val="24"/>
          <w:szCs w:val="24"/>
        </w:rPr>
        <w:t>regionalni  put</w:t>
      </w:r>
      <w:proofErr w:type="gramEnd"/>
      <w:r w:rsidRPr="00BA5B90">
        <w:rPr>
          <w:rFonts w:cstheme="minorHAnsi"/>
          <w:sz w:val="24"/>
          <w:szCs w:val="24"/>
        </w:rPr>
        <w:t xml:space="preserve"> Andrijevica – Berane, zati</w:t>
      </w:r>
      <w:r w:rsidR="00210452">
        <w:rPr>
          <w:rFonts w:cstheme="minorHAnsi"/>
          <w:sz w:val="24"/>
          <w:szCs w:val="24"/>
        </w:rPr>
        <w:t xml:space="preserve">m ide iznad ‘’sreskih zgrada’’ </w:t>
      </w:r>
      <w:r w:rsidRPr="00BA5B90">
        <w:rPr>
          <w:rFonts w:cstheme="minorHAnsi"/>
          <w:sz w:val="24"/>
          <w:szCs w:val="24"/>
        </w:rPr>
        <w:t xml:space="preserve"> u pravcu juga, sve do raskrsnice Andrijevica – Konjuhe- Murina i ovim putem se spušta do početne tačke na mostu na Zloečici. </w:t>
      </w:r>
    </w:p>
    <w:p w:rsidR="00210452" w:rsidRPr="00210452" w:rsidRDefault="00210452" w:rsidP="00210452">
      <w:pPr>
        <w:pStyle w:val="ListParagraph"/>
        <w:rPr>
          <w:rFonts w:cstheme="minorHAnsi"/>
          <w:sz w:val="24"/>
          <w:szCs w:val="24"/>
        </w:rPr>
      </w:pPr>
    </w:p>
    <w:p w:rsidR="00822AAC" w:rsidRDefault="00822AAC" w:rsidP="00D545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ZONA 3</w:t>
      </w:r>
      <w:r w:rsidRPr="00BA5B90">
        <w:rPr>
          <w:rFonts w:cstheme="minorHAnsi"/>
          <w:sz w:val="24"/>
          <w:szCs w:val="24"/>
        </w:rPr>
        <w:t xml:space="preserve"> – obuhvata pro</w:t>
      </w:r>
      <w:r w:rsidR="00210452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 xml:space="preserve">tor </w:t>
      </w:r>
      <w:proofErr w:type="gramStart"/>
      <w:r w:rsidRPr="00BA5B90">
        <w:rPr>
          <w:rFonts w:cstheme="minorHAnsi"/>
          <w:sz w:val="24"/>
          <w:szCs w:val="24"/>
        </w:rPr>
        <w:t>od</w:t>
      </w:r>
      <w:proofErr w:type="gramEnd"/>
      <w:r w:rsidRPr="00BA5B90">
        <w:rPr>
          <w:rFonts w:cstheme="minorHAnsi"/>
          <w:sz w:val="24"/>
          <w:szCs w:val="24"/>
        </w:rPr>
        <w:t xml:space="preserve"> Veterinarske stanice na jugu sve do </w:t>
      </w:r>
      <w:r w:rsidR="00210452">
        <w:rPr>
          <w:rFonts w:cstheme="minorHAnsi"/>
          <w:sz w:val="24"/>
          <w:szCs w:val="24"/>
        </w:rPr>
        <w:t xml:space="preserve">bivšeg </w:t>
      </w:r>
      <w:r w:rsidRPr="00BA5B90">
        <w:rPr>
          <w:rFonts w:cstheme="minorHAnsi"/>
          <w:sz w:val="24"/>
          <w:szCs w:val="24"/>
        </w:rPr>
        <w:t xml:space="preserve">‘’Soko Štarka’’ na sjeveru, a zatim do </w:t>
      </w:r>
      <w:r w:rsidR="00210452">
        <w:rPr>
          <w:rFonts w:cstheme="minorHAnsi"/>
          <w:sz w:val="24"/>
          <w:szCs w:val="24"/>
        </w:rPr>
        <w:t xml:space="preserve">bivšeg </w:t>
      </w:r>
      <w:r w:rsidRPr="00BA5B90">
        <w:rPr>
          <w:rFonts w:cstheme="minorHAnsi"/>
          <w:sz w:val="24"/>
          <w:szCs w:val="24"/>
        </w:rPr>
        <w:t xml:space="preserve">‘’Termoventa’’ na sjeverozapadu, tj. </w:t>
      </w:r>
      <w:proofErr w:type="gramStart"/>
      <w:r w:rsidRPr="00BA5B90">
        <w:rPr>
          <w:rFonts w:cstheme="minorHAnsi"/>
          <w:sz w:val="24"/>
          <w:szCs w:val="24"/>
        </w:rPr>
        <w:t>pro</w:t>
      </w:r>
      <w:r w:rsidR="00210452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>tor</w:t>
      </w:r>
      <w:proofErr w:type="gramEnd"/>
      <w:r w:rsidRPr="00BA5B90">
        <w:rPr>
          <w:rFonts w:cstheme="minorHAnsi"/>
          <w:sz w:val="24"/>
          <w:szCs w:val="24"/>
        </w:rPr>
        <w:t xml:space="preserve"> koji  je obuhvaćen GUP-om opštine Andrijevica. </w:t>
      </w:r>
    </w:p>
    <w:p w:rsidR="00210452" w:rsidRPr="00210452" w:rsidRDefault="00210452" w:rsidP="00210452">
      <w:pPr>
        <w:pStyle w:val="ListParagraph"/>
        <w:rPr>
          <w:rFonts w:cstheme="minorHAnsi"/>
          <w:sz w:val="24"/>
          <w:szCs w:val="24"/>
        </w:rPr>
      </w:pPr>
    </w:p>
    <w:p w:rsidR="00210452" w:rsidRPr="00BA5B90" w:rsidRDefault="00210452" w:rsidP="00210452">
      <w:pPr>
        <w:pStyle w:val="ListParagraph"/>
        <w:rPr>
          <w:rFonts w:cstheme="minorHAnsi"/>
          <w:sz w:val="24"/>
          <w:szCs w:val="24"/>
        </w:rPr>
      </w:pPr>
    </w:p>
    <w:p w:rsidR="00822AAC" w:rsidRPr="00BA5B90" w:rsidRDefault="00822AAC" w:rsidP="003C53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lastRenderedPageBreak/>
        <w:t>ZONA 4</w:t>
      </w:r>
      <w:r w:rsidRPr="00BA5B90">
        <w:rPr>
          <w:rFonts w:cstheme="minorHAnsi"/>
          <w:sz w:val="24"/>
          <w:szCs w:val="24"/>
        </w:rPr>
        <w:t xml:space="preserve"> obuhvata preostali pro</w:t>
      </w:r>
      <w:r w:rsidR="00210452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 xml:space="preserve">tor opštine Andrijevica, koji nije definisan zonama 1, </w:t>
      </w:r>
      <w:proofErr w:type="gramStart"/>
      <w:r w:rsidRPr="00BA5B90">
        <w:rPr>
          <w:rFonts w:cstheme="minorHAnsi"/>
          <w:sz w:val="24"/>
          <w:szCs w:val="24"/>
        </w:rPr>
        <w:t>2 ,</w:t>
      </w:r>
      <w:proofErr w:type="gramEnd"/>
      <w:r w:rsidRPr="00BA5B90">
        <w:rPr>
          <w:rFonts w:cstheme="minorHAnsi"/>
          <w:sz w:val="24"/>
          <w:szCs w:val="24"/>
        </w:rPr>
        <w:t xml:space="preserve"> 3 i 4 na području Prostorno-urbanističkog plana Andrijevica. </w:t>
      </w:r>
    </w:p>
    <w:p w:rsidR="003C53D7" w:rsidRPr="00BA5B90" w:rsidRDefault="003C53D7" w:rsidP="003C53D7">
      <w:pPr>
        <w:ind w:left="360"/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6 </w:t>
      </w:r>
    </w:p>
    <w:p w:rsidR="003C53D7" w:rsidRPr="00BA5B90" w:rsidRDefault="003C53D7" w:rsidP="0021045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Stepen opremljenosti građevinskog zemljišta iskazuje se koeficijentom opremljenosti po zonama, </w:t>
      </w:r>
      <w:proofErr w:type="gramStart"/>
      <w:r w:rsidRPr="00BA5B90">
        <w:rPr>
          <w:rFonts w:cstheme="minorHAnsi"/>
          <w:sz w:val="24"/>
          <w:szCs w:val="24"/>
        </w:rPr>
        <w:t>na</w:t>
      </w:r>
      <w:proofErr w:type="gramEnd"/>
      <w:r w:rsidRPr="00BA5B90">
        <w:rPr>
          <w:rFonts w:cstheme="minorHAnsi"/>
          <w:sz w:val="24"/>
          <w:szCs w:val="24"/>
        </w:rPr>
        <w:t xml:space="preserve"> osnovu pripadajućih vrijednosti izgrađenih objekata i uređaja komunalne infrastru</w:t>
      </w:r>
      <w:r w:rsidR="00210452">
        <w:rPr>
          <w:rFonts w:cstheme="minorHAnsi"/>
          <w:sz w:val="24"/>
          <w:szCs w:val="24"/>
        </w:rPr>
        <w:t>k</w:t>
      </w:r>
      <w:r w:rsidRPr="00BA5B90">
        <w:rPr>
          <w:rFonts w:cstheme="minorHAnsi"/>
          <w:sz w:val="24"/>
          <w:szCs w:val="24"/>
        </w:rPr>
        <w:t>ture i</w:t>
      </w:r>
      <w:r w:rsidR="00372E7B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na osnovu tržišnog kriterijuma vrijednosti lokacije, gdje je vrijednost lokacije srazmjerna njenom položaju i udaljenosti od gradskog centra, pristupačnosti, obimu i raznolikosti ponude i posebnim pogodnostima za određenu namjenu i to: </w:t>
      </w:r>
    </w:p>
    <w:p w:rsidR="003C53D7" w:rsidRPr="00BA5B90" w:rsidRDefault="003C53D7" w:rsidP="003C53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Zona 1 </w:t>
      </w:r>
      <w:r w:rsidR="002912D7" w:rsidRPr="00BA5B90">
        <w:rPr>
          <w:rFonts w:cstheme="minorHAnsi"/>
          <w:sz w:val="24"/>
          <w:szCs w:val="24"/>
        </w:rPr>
        <w:t xml:space="preserve"> - 1,40</w:t>
      </w:r>
    </w:p>
    <w:p w:rsidR="003C53D7" w:rsidRPr="00BA5B90" w:rsidRDefault="003C53D7" w:rsidP="003C53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Zona 2</w:t>
      </w:r>
      <w:r w:rsidR="00BA5B90" w:rsidRPr="00BA5B90">
        <w:rPr>
          <w:rFonts w:cstheme="minorHAnsi"/>
          <w:sz w:val="24"/>
          <w:szCs w:val="24"/>
        </w:rPr>
        <w:t xml:space="preserve">- </w:t>
      </w:r>
      <w:r w:rsidR="002912D7" w:rsidRPr="00BA5B90">
        <w:rPr>
          <w:rFonts w:cstheme="minorHAnsi"/>
          <w:sz w:val="24"/>
          <w:szCs w:val="24"/>
        </w:rPr>
        <w:t xml:space="preserve"> </w:t>
      </w:r>
      <w:r w:rsidR="00372E7B">
        <w:rPr>
          <w:rFonts w:cstheme="minorHAnsi"/>
          <w:sz w:val="24"/>
          <w:szCs w:val="24"/>
        </w:rPr>
        <w:t xml:space="preserve"> </w:t>
      </w:r>
      <w:r w:rsidR="002912D7" w:rsidRPr="00BA5B90">
        <w:rPr>
          <w:rFonts w:cstheme="minorHAnsi"/>
          <w:sz w:val="24"/>
          <w:szCs w:val="24"/>
        </w:rPr>
        <w:t>1,20</w:t>
      </w:r>
    </w:p>
    <w:p w:rsidR="003C53D7" w:rsidRPr="00BA5B90" w:rsidRDefault="003C53D7" w:rsidP="003C53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Zona 3</w:t>
      </w:r>
      <w:r w:rsidR="00BA5B90" w:rsidRPr="00BA5B90">
        <w:rPr>
          <w:rFonts w:cstheme="minorHAnsi"/>
          <w:sz w:val="24"/>
          <w:szCs w:val="24"/>
        </w:rPr>
        <w:t xml:space="preserve"> - </w:t>
      </w:r>
      <w:r w:rsidR="002912D7" w:rsidRPr="00BA5B90">
        <w:rPr>
          <w:rFonts w:cstheme="minorHAnsi"/>
          <w:sz w:val="24"/>
          <w:szCs w:val="24"/>
        </w:rPr>
        <w:t xml:space="preserve"> 0,80</w:t>
      </w:r>
    </w:p>
    <w:p w:rsidR="003C53D7" w:rsidRPr="00BA5B90" w:rsidRDefault="003C53D7" w:rsidP="003C53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Zona 4</w:t>
      </w:r>
      <w:r w:rsidR="00BA5B90" w:rsidRPr="00BA5B90">
        <w:rPr>
          <w:rFonts w:cstheme="minorHAnsi"/>
          <w:sz w:val="24"/>
          <w:szCs w:val="24"/>
        </w:rPr>
        <w:t xml:space="preserve">-  </w:t>
      </w:r>
      <w:r w:rsidR="00372E7B">
        <w:rPr>
          <w:rFonts w:cstheme="minorHAnsi"/>
          <w:sz w:val="24"/>
          <w:szCs w:val="24"/>
        </w:rPr>
        <w:t xml:space="preserve"> </w:t>
      </w:r>
      <w:r w:rsidR="00BA5B90" w:rsidRPr="00BA5B90">
        <w:rPr>
          <w:rFonts w:cstheme="minorHAnsi"/>
          <w:sz w:val="24"/>
          <w:szCs w:val="24"/>
        </w:rPr>
        <w:t>0,00</w:t>
      </w:r>
    </w:p>
    <w:p w:rsidR="003C53D7" w:rsidRPr="00BA5B90" w:rsidRDefault="003C53D7" w:rsidP="003C53D7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7 </w:t>
      </w:r>
    </w:p>
    <w:p w:rsidR="003C53D7" w:rsidRPr="00BA5B90" w:rsidRDefault="003C53D7" w:rsidP="003C53D7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Troškovi opremanja građevinskog zemljišta </w:t>
      </w:r>
      <w:proofErr w:type="gramStart"/>
      <w:r w:rsidRPr="00BA5B90">
        <w:rPr>
          <w:rFonts w:cstheme="minorHAnsi"/>
          <w:sz w:val="24"/>
          <w:szCs w:val="24"/>
        </w:rPr>
        <w:t>sa</w:t>
      </w:r>
      <w:proofErr w:type="gramEnd"/>
      <w:r w:rsidRPr="00BA5B90">
        <w:rPr>
          <w:rFonts w:cstheme="minorHAnsi"/>
          <w:sz w:val="24"/>
          <w:szCs w:val="24"/>
        </w:rPr>
        <w:t xml:space="preserve"> troškovima mjera urbane sanacije pr</w:t>
      </w:r>
      <w:r w:rsidR="00372E7B">
        <w:rPr>
          <w:rFonts w:cstheme="minorHAnsi"/>
          <w:sz w:val="24"/>
          <w:szCs w:val="24"/>
        </w:rPr>
        <w:t>o</w:t>
      </w:r>
      <w:r w:rsidRPr="00BA5B90">
        <w:rPr>
          <w:rFonts w:cstheme="minorHAnsi"/>
          <w:sz w:val="24"/>
          <w:szCs w:val="24"/>
        </w:rPr>
        <w:t>stora devastiranih bespravnom gradnjom, procijenjeni su</w:t>
      </w:r>
      <w:r w:rsidR="00372E7B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na osnovu planskih pokazatelja u zahvatu pojedinih zona i iznose (eura po m2): </w:t>
      </w:r>
    </w:p>
    <w:p w:rsidR="003C53D7" w:rsidRPr="00BA5B90" w:rsidRDefault="003C53D7" w:rsidP="003C53D7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8 </w:t>
      </w:r>
    </w:p>
    <w:p w:rsidR="003C53D7" w:rsidRPr="00BA5B90" w:rsidRDefault="00135611" w:rsidP="003C53D7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Iznos naknade po m2 neto površine bespravnog objekta obračunava se kao proizvod prosječnih troškova komunalnog opremanja </w:t>
      </w:r>
      <w:proofErr w:type="gramStart"/>
      <w:r w:rsidRPr="00BA5B90">
        <w:rPr>
          <w:rFonts w:cstheme="minorHAnsi"/>
          <w:sz w:val="24"/>
          <w:szCs w:val="24"/>
        </w:rPr>
        <w:t>sa</w:t>
      </w:r>
      <w:proofErr w:type="gramEnd"/>
      <w:r w:rsidRPr="00BA5B90">
        <w:rPr>
          <w:rFonts w:cstheme="minorHAnsi"/>
          <w:sz w:val="24"/>
          <w:szCs w:val="24"/>
        </w:rPr>
        <w:t xml:space="preserve"> troškovima mjera urbane sanacije prostora devastiranih bespravnom gradnjom i koeficijen</w:t>
      </w:r>
      <w:r w:rsidR="00372E7B">
        <w:rPr>
          <w:rFonts w:cstheme="minorHAnsi"/>
          <w:sz w:val="24"/>
          <w:szCs w:val="24"/>
        </w:rPr>
        <w:t>t</w:t>
      </w:r>
      <w:r w:rsidRPr="00BA5B90">
        <w:rPr>
          <w:rFonts w:cstheme="minorHAnsi"/>
          <w:sz w:val="24"/>
          <w:szCs w:val="24"/>
        </w:rPr>
        <w:t>a opremljenosti po zonama i iznosi: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35611" w:rsidRPr="00BA5B90" w:rsidTr="003044BE">
        <w:tc>
          <w:tcPr>
            <w:tcW w:w="1915" w:type="dxa"/>
          </w:tcPr>
          <w:p w:rsidR="00135611" w:rsidRPr="00BA5B90" w:rsidRDefault="00135611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ZONA</w:t>
            </w:r>
          </w:p>
        </w:tc>
        <w:tc>
          <w:tcPr>
            <w:tcW w:w="1915" w:type="dxa"/>
          </w:tcPr>
          <w:p w:rsidR="00135611" w:rsidRPr="00BA5B90" w:rsidRDefault="00135611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35611" w:rsidRPr="00BA5B90" w:rsidRDefault="00135611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35611" w:rsidRPr="00BA5B90" w:rsidRDefault="00135611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135611" w:rsidRPr="00BA5B90" w:rsidRDefault="00135611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35611" w:rsidRPr="00BA5B90" w:rsidTr="003044BE">
        <w:tc>
          <w:tcPr>
            <w:tcW w:w="1915" w:type="dxa"/>
          </w:tcPr>
          <w:p w:rsidR="00135611" w:rsidRPr="00BA5B90" w:rsidRDefault="00135611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Iznos (€/m2)</w:t>
            </w:r>
          </w:p>
        </w:tc>
        <w:tc>
          <w:tcPr>
            <w:tcW w:w="1915" w:type="dxa"/>
          </w:tcPr>
          <w:p w:rsidR="00135611" w:rsidRPr="00BA5B90" w:rsidRDefault="002912D7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1915" w:type="dxa"/>
          </w:tcPr>
          <w:p w:rsidR="00135611" w:rsidRPr="00BA5B90" w:rsidRDefault="002912D7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12,00</w:t>
            </w:r>
          </w:p>
        </w:tc>
        <w:tc>
          <w:tcPr>
            <w:tcW w:w="1915" w:type="dxa"/>
          </w:tcPr>
          <w:p w:rsidR="00135611" w:rsidRPr="00BA5B90" w:rsidRDefault="002912D7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916" w:type="dxa"/>
          </w:tcPr>
          <w:p w:rsidR="00135611" w:rsidRPr="00BA5B90" w:rsidRDefault="002912D7" w:rsidP="003044BE">
            <w:pPr>
              <w:rPr>
                <w:rFonts w:cstheme="minorHAnsi"/>
                <w:sz w:val="24"/>
                <w:szCs w:val="24"/>
              </w:rPr>
            </w:pPr>
            <w:r w:rsidRPr="00BA5B90">
              <w:rPr>
                <w:rFonts w:cstheme="minorHAnsi"/>
                <w:sz w:val="24"/>
                <w:szCs w:val="24"/>
              </w:rPr>
              <w:t>0,00</w:t>
            </w:r>
          </w:p>
        </w:tc>
      </w:tr>
    </w:tbl>
    <w:p w:rsidR="00BA5B90" w:rsidRPr="00BA5B90" w:rsidRDefault="00BA5B90" w:rsidP="00BA5B90">
      <w:pPr>
        <w:rPr>
          <w:rFonts w:cstheme="minorHAnsi"/>
          <w:sz w:val="24"/>
          <w:szCs w:val="24"/>
        </w:rPr>
      </w:pPr>
    </w:p>
    <w:p w:rsidR="00BA5B90" w:rsidRPr="00BA5B90" w:rsidRDefault="00BA5B90" w:rsidP="00BA5B90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Prosječni troškovi opremanja građevinskog zemljišta sa troškovima mjera urbane sanacije prostora devastiranih bespravnom gradnjom na nivou svih zona </w:t>
      </w:r>
      <w:proofErr w:type="gramStart"/>
      <w:r w:rsidRPr="00BA5B90">
        <w:rPr>
          <w:rFonts w:cstheme="minorHAnsi"/>
          <w:sz w:val="24"/>
          <w:szCs w:val="24"/>
        </w:rPr>
        <w:t>iznose  10</w:t>
      </w:r>
      <w:proofErr w:type="gramEnd"/>
      <w:r w:rsidRPr="00BA5B90">
        <w:rPr>
          <w:rFonts w:cstheme="minorHAnsi"/>
          <w:sz w:val="24"/>
          <w:szCs w:val="24"/>
        </w:rPr>
        <w:t xml:space="preserve">€ po m2. </w:t>
      </w:r>
    </w:p>
    <w:p w:rsidR="00135611" w:rsidRPr="00BA5B90" w:rsidRDefault="00135611" w:rsidP="003C53D7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Iznos naknade po zonama iz stav</w:t>
      </w:r>
      <w:r w:rsidR="00C25595">
        <w:rPr>
          <w:rFonts w:cstheme="minorHAnsi"/>
          <w:sz w:val="24"/>
          <w:szCs w:val="24"/>
        </w:rPr>
        <w:t>a</w:t>
      </w:r>
      <w:r w:rsidRPr="00BA5B90">
        <w:rPr>
          <w:rFonts w:cstheme="minorHAnsi"/>
          <w:sz w:val="24"/>
          <w:szCs w:val="24"/>
        </w:rPr>
        <w:t xml:space="preserve"> 1 ovog člana umanjuje se.</w:t>
      </w:r>
      <w:proofErr w:type="gramEnd"/>
    </w:p>
    <w:p w:rsidR="00135611" w:rsidRPr="00BA5B90" w:rsidRDefault="00135611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Za stambene objekte za 50%,</w:t>
      </w:r>
    </w:p>
    <w:p w:rsidR="00135611" w:rsidRPr="00BA5B90" w:rsidRDefault="00135611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Za porodične stambene objekte kojima se prvi put rješava stambeno pitanje  za neto površinu do 100 m2 za 75%,</w:t>
      </w:r>
    </w:p>
    <w:p w:rsidR="00135611" w:rsidRPr="00BA5B90" w:rsidRDefault="00135611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Otvoreni pro</w:t>
      </w:r>
      <w:r w:rsidR="001A0116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>tor na parceli koji je namijenjen</w:t>
      </w:r>
      <w:r w:rsidR="00453BD9" w:rsidRPr="00BA5B90">
        <w:rPr>
          <w:rFonts w:cstheme="minorHAnsi"/>
          <w:sz w:val="24"/>
          <w:szCs w:val="24"/>
        </w:rPr>
        <w:t xml:space="preserve"> za obavljanje djelatnosti za 50%, </w:t>
      </w:r>
    </w:p>
    <w:p w:rsidR="00453BD9" w:rsidRPr="00BA5B90" w:rsidRDefault="00453BD9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Stambeni prostor u potkrovlju za 70%</w:t>
      </w:r>
    </w:p>
    <w:p w:rsidR="00453BD9" w:rsidRPr="00BA5B90" w:rsidRDefault="00453BD9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Pretvoreni zajednički dio stambene zgrade u stambeni ili poslovni pro</w:t>
      </w:r>
      <w:r w:rsidR="001A0116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 xml:space="preserve">tor za 70%, </w:t>
      </w:r>
    </w:p>
    <w:p w:rsidR="00453BD9" w:rsidRPr="00BA5B90" w:rsidRDefault="00453BD9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lastRenderedPageBreak/>
        <w:t>Stambeni pro</w:t>
      </w:r>
      <w:r w:rsidR="001A0116">
        <w:rPr>
          <w:rFonts w:cstheme="minorHAnsi"/>
          <w:sz w:val="24"/>
          <w:szCs w:val="24"/>
        </w:rPr>
        <w:t>s</w:t>
      </w:r>
      <w:r w:rsidRPr="00BA5B90">
        <w:rPr>
          <w:rFonts w:cstheme="minorHAnsi"/>
          <w:sz w:val="24"/>
          <w:szCs w:val="24"/>
        </w:rPr>
        <w:t>tor čiji vlasnik ili član porodičnog domaćinstva ima prioritet u ostvarivanju prava na socijalno stanovanje</w:t>
      </w:r>
      <w:r w:rsidR="00C25595">
        <w:rPr>
          <w:rFonts w:cstheme="minorHAnsi"/>
          <w:sz w:val="24"/>
          <w:szCs w:val="24"/>
        </w:rPr>
        <w:t>,</w:t>
      </w:r>
      <w:r w:rsidRPr="00BA5B90">
        <w:rPr>
          <w:rFonts w:cstheme="minorHAnsi"/>
          <w:sz w:val="24"/>
          <w:szCs w:val="24"/>
        </w:rPr>
        <w:t xml:space="preserve"> u skladu sa zakonom kojim se uređuju uslovi i način ostvarivanja prava na socijalno stanovanje za 90%, </w:t>
      </w:r>
    </w:p>
    <w:p w:rsidR="00453BD9" w:rsidRPr="00BA5B90" w:rsidRDefault="00453BD9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Vjerski objekti za 80%, </w:t>
      </w:r>
    </w:p>
    <w:p w:rsidR="00453BD9" w:rsidRPr="00BA5B90" w:rsidRDefault="00453BD9" w:rsidP="00135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Pomoćne objekte koji služe korišćenju stambenog i drugog objekta (nadzemne garaže, ljetnje kuhinje, ostave, bazene i</w:t>
      </w:r>
      <w:r w:rsidR="00C25595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sl.) za 80%, </w:t>
      </w:r>
    </w:p>
    <w:p w:rsidR="00453BD9" w:rsidRPr="00BA5B90" w:rsidRDefault="00453BD9" w:rsidP="00453BD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Iznos naknade iz stav</w:t>
      </w:r>
      <w:r w:rsidR="00C25595">
        <w:rPr>
          <w:rFonts w:cstheme="minorHAnsi"/>
          <w:sz w:val="24"/>
          <w:szCs w:val="24"/>
        </w:rPr>
        <w:t>a</w:t>
      </w:r>
      <w:r w:rsidRPr="00BA5B90">
        <w:rPr>
          <w:rFonts w:cstheme="minorHAnsi"/>
          <w:sz w:val="24"/>
          <w:szCs w:val="24"/>
        </w:rPr>
        <w:t xml:space="preserve"> 1 ovog člana uvećava se: </w:t>
      </w:r>
    </w:p>
    <w:p w:rsidR="00453BD9" w:rsidRPr="00BA5B90" w:rsidRDefault="00453BD9" w:rsidP="00453B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Za bespravne objekte osnovnog stanovanja za</w:t>
      </w:r>
      <w:r w:rsidR="00A96046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2,5 %, </w:t>
      </w:r>
    </w:p>
    <w:p w:rsidR="00453BD9" w:rsidRPr="00BA5B90" w:rsidRDefault="00453BD9" w:rsidP="00453B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Za ostale bespravne objekte 5%</w:t>
      </w:r>
      <w:r w:rsidR="00A96046">
        <w:rPr>
          <w:rFonts w:cstheme="minorHAnsi"/>
          <w:sz w:val="24"/>
          <w:szCs w:val="24"/>
        </w:rPr>
        <w:t xml:space="preserve">, </w:t>
      </w:r>
      <w:r w:rsidRPr="00BA5B90">
        <w:rPr>
          <w:rFonts w:cstheme="minorHAnsi"/>
          <w:sz w:val="24"/>
          <w:szCs w:val="24"/>
        </w:rPr>
        <w:t xml:space="preserve"> ako se </w:t>
      </w:r>
      <w:r w:rsidR="00426E82" w:rsidRPr="00BA5B90">
        <w:rPr>
          <w:rFonts w:cstheme="minorHAnsi"/>
          <w:sz w:val="24"/>
          <w:szCs w:val="24"/>
        </w:rPr>
        <w:t xml:space="preserve">uvećani iznos plati jednokratno, odnosno 20% ako se uvećani iznos plaća u jednakim mjesečnim ratama. </w:t>
      </w:r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Naknada za urbanu sanaciju građevinskog zemljišta ne obračunava se za podzemne etaže.</w:t>
      </w:r>
      <w:proofErr w:type="gramEnd"/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Ako vlasnik bespravnog objekta ostvaruje pravo </w:t>
      </w:r>
      <w:proofErr w:type="gramStart"/>
      <w:r w:rsidRPr="00BA5B90">
        <w:rPr>
          <w:rFonts w:cstheme="minorHAnsi"/>
          <w:sz w:val="24"/>
          <w:szCs w:val="24"/>
        </w:rPr>
        <w:t>na</w:t>
      </w:r>
      <w:proofErr w:type="gramEnd"/>
      <w:r w:rsidRPr="00BA5B90">
        <w:rPr>
          <w:rFonts w:cstheme="minorHAnsi"/>
          <w:sz w:val="24"/>
          <w:szCs w:val="24"/>
        </w:rPr>
        <w:t xml:space="preserve"> umanjenje naknade po više osnova iz stav</w:t>
      </w:r>
      <w:r w:rsidR="00A96046">
        <w:rPr>
          <w:rFonts w:cstheme="minorHAnsi"/>
          <w:sz w:val="24"/>
          <w:szCs w:val="24"/>
        </w:rPr>
        <w:t>a</w:t>
      </w:r>
      <w:r w:rsidRPr="00BA5B90">
        <w:rPr>
          <w:rFonts w:cstheme="minorHAnsi"/>
          <w:sz w:val="24"/>
          <w:szCs w:val="24"/>
        </w:rPr>
        <w:t xml:space="preserve"> 2 ovog člana, primjenjuje se osnov za umanjenje koji je najpovoljniji za vlasnika. </w:t>
      </w:r>
    </w:p>
    <w:p w:rsidR="00BA5B90" w:rsidRPr="00BA5B90" w:rsidRDefault="00BA5B90" w:rsidP="00426E82">
      <w:pPr>
        <w:rPr>
          <w:rFonts w:cstheme="minorHAnsi"/>
          <w:sz w:val="24"/>
          <w:szCs w:val="24"/>
        </w:rPr>
      </w:pPr>
    </w:p>
    <w:p w:rsidR="00426E82" w:rsidRPr="00BA5B90" w:rsidRDefault="00426E82" w:rsidP="00BA5B90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BA5B90">
        <w:rPr>
          <w:rFonts w:cstheme="minorHAnsi"/>
          <w:b/>
          <w:sz w:val="24"/>
          <w:szCs w:val="24"/>
        </w:rPr>
        <w:t>III  NAČIN</w:t>
      </w:r>
      <w:proofErr w:type="gramEnd"/>
      <w:r w:rsidRPr="00BA5B90">
        <w:rPr>
          <w:rFonts w:cstheme="minorHAnsi"/>
          <w:b/>
          <w:sz w:val="24"/>
          <w:szCs w:val="24"/>
        </w:rPr>
        <w:t>, ROKOVI I POSTUPAK PLAĆANJA NAKNADE</w:t>
      </w:r>
    </w:p>
    <w:p w:rsidR="00426E82" w:rsidRPr="00BA5B90" w:rsidRDefault="00426E82" w:rsidP="00426E82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Član 9</w:t>
      </w:r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Visinu, način i rokove plaćanja naknade utvrđuje rješenjem organ lokalne uprave nadležan za poslove legalizacije objekata (u daljem tekstu: nadležni organ), u roku </w:t>
      </w:r>
      <w:proofErr w:type="gramStart"/>
      <w:r w:rsidRPr="00BA5B90">
        <w:rPr>
          <w:rFonts w:cstheme="minorHAnsi"/>
          <w:sz w:val="24"/>
          <w:szCs w:val="24"/>
        </w:rPr>
        <w:t>od</w:t>
      </w:r>
      <w:proofErr w:type="gramEnd"/>
      <w:r w:rsidRPr="00BA5B90">
        <w:rPr>
          <w:rFonts w:cstheme="minorHAnsi"/>
          <w:sz w:val="24"/>
          <w:szCs w:val="24"/>
        </w:rPr>
        <w:t xml:space="preserve"> 15 dana od dana podnošenja neophodne dokumentacije za legalizaciju bespravnog objekta. </w:t>
      </w:r>
    </w:p>
    <w:p w:rsidR="00426E82" w:rsidRPr="00BA5B90" w:rsidRDefault="00426E82" w:rsidP="00426E82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Član 10</w:t>
      </w:r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Naknada se uplaćuje </w:t>
      </w:r>
      <w:proofErr w:type="gramStart"/>
      <w:r w:rsidRPr="00BA5B90">
        <w:rPr>
          <w:rFonts w:cstheme="minorHAnsi"/>
          <w:sz w:val="24"/>
          <w:szCs w:val="24"/>
        </w:rPr>
        <w:t>na</w:t>
      </w:r>
      <w:proofErr w:type="gramEnd"/>
      <w:r w:rsidR="0010460A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>uplatni račun budžeta Opštine.</w:t>
      </w:r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Naknada za bespravne objekte osnovnog stanovanja plaća se jednokratno </w:t>
      </w:r>
      <w:proofErr w:type="gramStart"/>
      <w:r w:rsidRPr="00BA5B90">
        <w:rPr>
          <w:rFonts w:cstheme="minorHAnsi"/>
          <w:sz w:val="24"/>
          <w:szCs w:val="24"/>
        </w:rPr>
        <w:t>ili</w:t>
      </w:r>
      <w:proofErr w:type="gramEnd"/>
      <w:r w:rsidRPr="00BA5B90">
        <w:rPr>
          <w:rFonts w:cstheme="minorHAnsi"/>
          <w:sz w:val="24"/>
          <w:szCs w:val="24"/>
        </w:rPr>
        <w:t xml:space="preserve"> u jednakim mjesečnim ratama, navedenim u zahtjevu vlasnika bespravnog objekta, a najviše u 240 mjesečnih rata. </w:t>
      </w:r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Za ostale bespravne objekte, naknada se plaća jednokratno </w:t>
      </w:r>
      <w:proofErr w:type="gramStart"/>
      <w:r w:rsidRPr="00BA5B90">
        <w:rPr>
          <w:rFonts w:cstheme="minorHAnsi"/>
          <w:sz w:val="24"/>
          <w:szCs w:val="24"/>
        </w:rPr>
        <w:t>ili  u</w:t>
      </w:r>
      <w:proofErr w:type="gramEnd"/>
      <w:r w:rsidRPr="00BA5B90">
        <w:rPr>
          <w:rFonts w:cstheme="minorHAnsi"/>
          <w:sz w:val="24"/>
          <w:szCs w:val="24"/>
        </w:rPr>
        <w:t xml:space="preserve"> jednakim mjesečnim ratama navedenim u zahtjevu vlasnika bespravnog objekta, a najviše u 120 mjesečnih rata. </w:t>
      </w:r>
    </w:p>
    <w:p w:rsidR="00426E82" w:rsidRPr="00BA5B90" w:rsidRDefault="00426E82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Jednokratno  plaćanje podrazumijeva plaćanje naknade u cjelokupnom iznosu u roku od sedam dana od dana donošenja rješenja o naknadi</w:t>
      </w:r>
      <w:r w:rsidR="0010460A">
        <w:rPr>
          <w:rFonts w:cstheme="minorHAnsi"/>
          <w:sz w:val="24"/>
          <w:szCs w:val="24"/>
        </w:rPr>
        <w:t>,</w:t>
      </w:r>
      <w:r w:rsidRPr="00BA5B90">
        <w:rPr>
          <w:rFonts w:cstheme="minorHAnsi"/>
          <w:sz w:val="24"/>
          <w:szCs w:val="24"/>
        </w:rPr>
        <w:t xml:space="preserve"> u kom slučaju </w:t>
      </w:r>
      <w:r w:rsidR="00A8717B" w:rsidRPr="00BA5B90">
        <w:rPr>
          <w:rFonts w:cstheme="minorHAnsi"/>
          <w:sz w:val="24"/>
          <w:szCs w:val="24"/>
        </w:rPr>
        <w:t>vlasnik bespravnog objekta ima pravo na umanjenje za 20%</w:t>
      </w:r>
      <w:r w:rsidR="00F73756">
        <w:rPr>
          <w:rFonts w:cstheme="minorHAnsi"/>
          <w:sz w:val="24"/>
          <w:szCs w:val="24"/>
        </w:rPr>
        <w:t xml:space="preserve"> </w:t>
      </w:r>
      <w:r w:rsidR="00A8717B" w:rsidRPr="00BA5B90">
        <w:rPr>
          <w:rFonts w:cstheme="minorHAnsi"/>
          <w:sz w:val="24"/>
          <w:szCs w:val="24"/>
        </w:rPr>
        <w:t>od obračunate vrijednosti naknade iz stav</w:t>
      </w:r>
      <w:r w:rsidR="0010460A">
        <w:rPr>
          <w:rFonts w:cstheme="minorHAnsi"/>
          <w:sz w:val="24"/>
          <w:szCs w:val="24"/>
        </w:rPr>
        <w:t>a</w:t>
      </w:r>
      <w:r w:rsidR="00A8717B" w:rsidRPr="00BA5B90">
        <w:rPr>
          <w:rFonts w:cstheme="minorHAnsi"/>
          <w:sz w:val="24"/>
          <w:szCs w:val="24"/>
        </w:rPr>
        <w:t xml:space="preserve"> 1 člana 8 ove odluke. </w:t>
      </w:r>
    </w:p>
    <w:p w:rsidR="00A8717B" w:rsidRPr="00BA5B90" w:rsidRDefault="00A8717B" w:rsidP="00426E82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lastRenderedPageBreak/>
        <w:t xml:space="preserve">Način plaćanja naknade u ratama i </w:t>
      </w:r>
      <w:proofErr w:type="gramStart"/>
      <w:r w:rsidRPr="00BA5B90">
        <w:rPr>
          <w:rFonts w:cstheme="minorHAnsi"/>
          <w:sz w:val="24"/>
          <w:szCs w:val="24"/>
        </w:rPr>
        <w:t>ostala  pitanja</w:t>
      </w:r>
      <w:proofErr w:type="gramEnd"/>
      <w:r w:rsidRPr="00BA5B90">
        <w:rPr>
          <w:rFonts w:cstheme="minorHAnsi"/>
          <w:sz w:val="24"/>
          <w:szCs w:val="24"/>
        </w:rPr>
        <w:t xml:space="preserve"> naknade uređuju se ugovorom između nadležnog organa i vlasnika bespravnog objekta. </w:t>
      </w:r>
    </w:p>
    <w:p w:rsidR="00A8717B" w:rsidRPr="00BA5B90" w:rsidRDefault="00A8717B" w:rsidP="00426E82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Ako se vlasnik bespravnog objekta u postupku donošenja rješenja o utvrđivanju naknade ne opredijeli za način plaćanja naknade, ima se smatrati da je saglasan da se naknada utvrdi u jednokratnom iznosu.</w:t>
      </w:r>
      <w:proofErr w:type="gramEnd"/>
    </w:p>
    <w:p w:rsidR="00A8717B" w:rsidRPr="00BA5B90" w:rsidRDefault="00D15E69" w:rsidP="00D15E69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Član 11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Kod utvrđivanja naknade u ratama utvrđuje se redovna kamata i zatezna kamata.</w:t>
      </w:r>
      <w:proofErr w:type="gramEnd"/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Obezbjeđivanje potraživanja iz stave 1 ovog člana vrši se upisom hipoteke </w:t>
      </w:r>
      <w:proofErr w:type="gramStart"/>
      <w:r w:rsidRPr="00BA5B90">
        <w:rPr>
          <w:rFonts w:cstheme="minorHAnsi"/>
          <w:sz w:val="24"/>
          <w:szCs w:val="24"/>
        </w:rPr>
        <w:t>na  bespravnom</w:t>
      </w:r>
      <w:proofErr w:type="gramEnd"/>
      <w:r w:rsidRPr="00BA5B90">
        <w:rPr>
          <w:rFonts w:cstheme="minorHAnsi"/>
          <w:sz w:val="24"/>
          <w:szCs w:val="24"/>
        </w:rPr>
        <w:t xml:space="preserve"> objektu za koji se utvrđuje naknada i uslov je donošenja rješenja o utvrđivanju naknade. 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Vlasnik bespravnog objekta dužan je da dostavi nadležnom organu dokaz o upisu hi</w:t>
      </w:r>
      <w:r w:rsidR="00F73756">
        <w:rPr>
          <w:rFonts w:cstheme="minorHAnsi"/>
          <w:sz w:val="24"/>
          <w:szCs w:val="24"/>
        </w:rPr>
        <w:t>poteke u katastar nepokretnosti</w:t>
      </w:r>
      <w:r w:rsidR="005E2BE6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u roku </w:t>
      </w:r>
      <w:proofErr w:type="gramStart"/>
      <w:r w:rsidRPr="00BA5B90">
        <w:rPr>
          <w:rFonts w:cstheme="minorHAnsi"/>
          <w:sz w:val="24"/>
          <w:szCs w:val="24"/>
        </w:rPr>
        <w:t>od</w:t>
      </w:r>
      <w:proofErr w:type="gramEnd"/>
      <w:r w:rsidRPr="00BA5B90">
        <w:rPr>
          <w:rFonts w:cstheme="minorHAnsi"/>
          <w:sz w:val="24"/>
          <w:szCs w:val="24"/>
        </w:rPr>
        <w:t xml:space="preserve"> 20 dana od dana potpisivanja ugovora o naknadi za komunalno opremanje, ukoliko se naknada plaća u ratama. </w:t>
      </w:r>
      <w:proofErr w:type="gramStart"/>
      <w:r w:rsidRPr="00BA5B90">
        <w:rPr>
          <w:rFonts w:cstheme="minorHAnsi"/>
          <w:sz w:val="24"/>
          <w:szCs w:val="24"/>
        </w:rPr>
        <w:t>U suprotnom, smatraće se da je vlasnik bespravnog objekta saglasan da se naknada utvrdi u jednokratnom iznosu.</w:t>
      </w:r>
      <w:proofErr w:type="gramEnd"/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Iznos mjesečne rate se uvećava za iznos prosječne redovne kamate koju plaća domicilna </w:t>
      </w:r>
      <w:proofErr w:type="gramStart"/>
      <w:r w:rsidRPr="00BA5B90">
        <w:rPr>
          <w:rFonts w:cstheme="minorHAnsi"/>
          <w:sz w:val="24"/>
          <w:szCs w:val="24"/>
        </w:rPr>
        <w:t>banka</w:t>
      </w:r>
      <w:proofErr w:type="gramEnd"/>
      <w:r w:rsidRPr="00BA5B90">
        <w:rPr>
          <w:rFonts w:cstheme="minorHAnsi"/>
          <w:sz w:val="24"/>
          <w:szCs w:val="24"/>
        </w:rPr>
        <w:t xml:space="preserve"> na oročena sredstva na godišnjem nivou. 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U slučaju da vlasnik bespravnog objekta zadocni </w:t>
      </w:r>
      <w:proofErr w:type="gramStart"/>
      <w:r w:rsidRPr="00BA5B90">
        <w:rPr>
          <w:rFonts w:cstheme="minorHAnsi"/>
          <w:sz w:val="24"/>
          <w:szCs w:val="24"/>
        </w:rPr>
        <w:t>sa</w:t>
      </w:r>
      <w:proofErr w:type="gramEnd"/>
      <w:r w:rsidRPr="00BA5B90">
        <w:rPr>
          <w:rFonts w:cstheme="minorHAnsi"/>
          <w:sz w:val="24"/>
          <w:szCs w:val="24"/>
        </w:rPr>
        <w:t xml:space="preserve"> plaćanjem naknade, obračunava</w:t>
      </w:r>
      <w:r w:rsidR="00F73756">
        <w:rPr>
          <w:rFonts w:cstheme="minorHAnsi"/>
          <w:sz w:val="24"/>
          <w:szCs w:val="24"/>
        </w:rPr>
        <w:t xml:space="preserve"> </w:t>
      </w:r>
      <w:r w:rsidRPr="00BA5B90">
        <w:rPr>
          <w:rFonts w:cstheme="minorHAnsi"/>
          <w:sz w:val="24"/>
          <w:szCs w:val="24"/>
        </w:rPr>
        <w:t xml:space="preserve">se zatezna kamata u skladu sa zakonom. 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Obezbjeđenje potraživanja po osnovu plaćanja naknade uspostavlja se </w:t>
      </w:r>
      <w:proofErr w:type="gramStart"/>
      <w:r w:rsidRPr="00BA5B90">
        <w:rPr>
          <w:rFonts w:cstheme="minorHAnsi"/>
          <w:sz w:val="24"/>
          <w:szCs w:val="24"/>
        </w:rPr>
        <w:t>na</w:t>
      </w:r>
      <w:proofErr w:type="gramEnd"/>
      <w:r w:rsidRPr="00BA5B90">
        <w:rPr>
          <w:rFonts w:cstheme="minorHAnsi"/>
          <w:sz w:val="24"/>
          <w:szCs w:val="24"/>
        </w:rPr>
        <w:t xml:space="preserve"> objektu za koji se obračunava naknada. 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Ukoliko vlasnik bespravnog objekta zadocni </w:t>
      </w:r>
      <w:proofErr w:type="gramStart"/>
      <w:r w:rsidRPr="00BA5B90">
        <w:rPr>
          <w:rFonts w:cstheme="minorHAnsi"/>
          <w:sz w:val="24"/>
          <w:szCs w:val="24"/>
        </w:rPr>
        <w:t>sa</w:t>
      </w:r>
      <w:proofErr w:type="gramEnd"/>
      <w:r w:rsidRPr="00BA5B90">
        <w:rPr>
          <w:rFonts w:cstheme="minorHAnsi"/>
          <w:sz w:val="24"/>
          <w:szCs w:val="24"/>
        </w:rPr>
        <w:t xml:space="preserve"> plaćanjem duže od tri mjeseca, smatraće se dospjelim cjelokupni iznos duga, shodno čemu će Opština aktivirati sva ugovorena sredstva obezbjeđenja. </w:t>
      </w:r>
    </w:p>
    <w:p w:rsidR="00D15E69" w:rsidRPr="00BA5B90" w:rsidRDefault="00D15E69" w:rsidP="00D15E69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Član 12 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Naplatu i kontrolu naplate naknade vrši organ lokalne uprave nadležan</w:t>
      </w:r>
      <w:r w:rsidR="005E2BE6">
        <w:rPr>
          <w:rFonts w:cstheme="minorHAnsi"/>
          <w:sz w:val="24"/>
          <w:szCs w:val="24"/>
        </w:rPr>
        <w:t xml:space="preserve"> za poslove utvrđivanja, naplat</w:t>
      </w:r>
      <w:r w:rsidRPr="00BA5B90">
        <w:rPr>
          <w:rFonts w:cstheme="minorHAnsi"/>
          <w:sz w:val="24"/>
          <w:szCs w:val="24"/>
        </w:rPr>
        <w:t>e i kontrole lokalnih javnih prihoda.</w:t>
      </w:r>
      <w:proofErr w:type="gramEnd"/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proofErr w:type="gramStart"/>
      <w:r w:rsidRPr="00BA5B90">
        <w:rPr>
          <w:rFonts w:cstheme="minorHAnsi"/>
          <w:sz w:val="24"/>
          <w:szCs w:val="24"/>
        </w:rPr>
        <w:t>U pogledu načina utvrđivanja naknade, obračunavanja, žalbe, rokova, prinudne naplate, kamat</w:t>
      </w:r>
      <w:r w:rsidR="00F73756">
        <w:rPr>
          <w:rFonts w:cstheme="minorHAnsi"/>
          <w:sz w:val="24"/>
          <w:szCs w:val="24"/>
        </w:rPr>
        <w:t xml:space="preserve">e, povraćaja i ostalih pitanja </w:t>
      </w:r>
      <w:r w:rsidRPr="00BA5B90">
        <w:rPr>
          <w:rFonts w:cstheme="minorHAnsi"/>
          <w:sz w:val="24"/>
          <w:szCs w:val="24"/>
        </w:rPr>
        <w:t>koja nijesu uređena ovom Odlukom, shodno se primjenjuju odredbe zakona kojim je uređen poreski postupak.</w:t>
      </w:r>
      <w:proofErr w:type="gramEnd"/>
    </w:p>
    <w:p w:rsidR="005E2BE6" w:rsidRDefault="005E2BE6" w:rsidP="00D15E69">
      <w:pPr>
        <w:jc w:val="center"/>
        <w:rPr>
          <w:rFonts w:cstheme="minorHAnsi"/>
          <w:b/>
          <w:sz w:val="24"/>
          <w:szCs w:val="24"/>
        </w:rPr>
      </w:pPr>
    </w:p>
    <w:p w:rsidR="005E2BE6" w:rsidRDefault="005E2BE6" w:rsidP="00D15E69">
      <w:pPr>
        <w:jc w:val="center"/>
        <w:rPr>
          <w:rFonts w:cstheme="minorHAnsi"/>
          <w:b/>
          <w:sz w:val="24"/>
          <w:szCs w:val="24"/>
        </w:rPr>
      </w:pPr>
    </w:p>
    <w:p w:rsidR="00D15E69" w:rsidRPr="00BA5B90" w:rsidRDefault="00D15E69" w:rsidP="00D15E69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lastRenderedPageBreak/>
        <w:t xml:space="preserve">Član 13 </w:t>
      </w:r>
    </w:p>
    <w:p w:rsidR="00D15E69" w:rsidRPr="00BA5B90" w:rsidRDefault="00D15E69" w:rsidP="00D15E69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Opština Andrijevica je dužna da, za objekte čiji su vlasnici izmirili cjelokupni iznos naknade</w:t>
      </w:r>
      <w:proofErr w:type="gramStart"/>
      <w:r w:rsidRPr="00BA5B90">
        <w:rPr>
          <w:rFonts w:cstheme="minorHAnsi"/>
          <w:sz w:val="24"/>
          <w:szCs w:val="24"/>
        </w:rPr>
        <w:t>,obezbijedi</w:t>
      </w:r>
      <w:proofErr w:type="gramEnd"/>
      <w:r w:rsidRPr="00BA5B90">
        <w:rPr>
          <w:rFonts w:cstheme="minorHAnsi"/>
          <w:sz w:val="24"/>
          <w:szCs w:val="24"/>
        </w:rPr>
        <w:t xml:space="preserve"> nedostajuću komunalnu infrastrukturu u skladu sa Programom uređenja prostora. </w:t>
      </w:r>
    </w:p>
    <w:p w:rsidR="00D15E69" w:rsidRPr="00BA5B90" w:rsidRDefault="00723AAA" w:rsidP="00723AAA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Član 14</w:t>
      </w:r>
    </w:p>
    <w:p w:rsidR="00723AAA" w:rsidRPr="00BA5B90" w:rsidRDefault="00723AAA" w:rsidP="00723AAA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Nadzor </w:t>
      </w:r>
      <w:proofErr w:type="gramStart"/>
      <w:r w:rsidRPr="00BA5B90">
        <w:rPr>
          <w:rFonts w:cstheme="minorHAnsi"/>
          <w:sz w:val="24"/>
          <w:szCs w:val="24"/>
        </w:rPr>
        <w:t>nad</w:t>
      </w:r>
      <w:proofErr w:type="gramEnd"/>
      <w:r w:rsidRPr="00BA5B90">
        <w:rPr>
          <w:rFonts w:cstheme="minorHAnsi"/>
          <w:sz w:val="24"/>
          <w:szCs w:val="24"/>
        </w:rPr>
        <w:t xml:space="preserve"> sprovođenjem ove odluke vrši nadl</w:t>
      </w:r>
      <w:r w:rsidR="00245AC9" w:rsidRPr="00BA5B90">
        <w:rPr>
          <w:rFonts w:cstheme="minorHAnsi"/>
          <w:sz w:val="24"/>
          <w:szCs w:val="24"/>
        </w:rPr>
        <w:t>ežni organ i organ lokalne upra</w:t>
      </w:r>
      <w:r w:rsidRPr="00BA5B90">
        <w:rPr>
          <w:rFonts w:cstheme="minorHAnsi"/>
          <w:sz w:val="24"/>
          <w:szCs w:val="24"/>
        </w:rPr>
        <w:t>ve nadležan za poslove u</w:t>
      </w:r>
      <w:r w:rsidR="00F73756">
        <w:rPr>
          <w:rFonts w:cstheme="minorHAnsi"/>
          <w:sz w:val="24"/>
          <w:szCs w:val="24"/>
        </w:rPr>
        <w:t xml:space="preserve">tvrđivanja, naplate i kontrole </w:t>
      </w:r>
      <w:r w:rsidRPr="00BA5B90">
        <w:rPr>
          <w:rFonts w:cstheme="minorHAnsi"/>
          <w:sz w:val="24"/>
          <w:szCs w:val="24"/>
        </w:rPr>
        <w:t xml:space="preserve">javnih prihoda. </w:t>
      </w:r>
    </w:p>
    <w:p w:rsidR="00245AC9" w:rsidRPr="00BA5B90" w:rsidRDefault="00245AC9" w:rsidP="00723AAA">
      <w:pPr>
        <w:rPr>
          <w:rFonts w:cstheme="minorHAnsi"/>
          <w:b/>
          <w:sz w:val="24"/>
          <w:szCs w:val="24"/>
        </w:rPr>
      </w:pPr>
    </w:p>
    <w:p w:rsidR="00723AAA" w:rsidRPr="00BA5B90" w:rsidRDefault="00723AAA" w:rsidP="00BA5B90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IV ZAVRŠNE ODREDBE</w:t>
      </w:r>
    </w:p>
    <w:p w:rsidR="00723AAA" w:rsidRPr="00BA5B90" w:rsidRDefault="00723AAA" w:rsidP="00723AAA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Član 1</w:t>
      </w:r>
      <w:r w:rsidR="00F73756">
        <w:rPr>
          <w:rFonts w:cstheme="minorHAnsi"/>
          <w:b/>
          <w:sz w:val="24"/>
          <w:szCs w:val="24"/>
        </w:rPr>
        <w:t>5</w:t>
      </w:r>
    </w:p>
    <w:p w:rsidR="00723AAA" w:rsidRPr="00BA5B90" w:rsidRDefault="00723AAA" w:rsidP="00723AAA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Ova odluka stupa </w:t>
      </w:r>
      <w:proofErr w:type="gramStart"/>
      <w:r w:rsidRPr="00BA5B90">
        <w:rPr>
          <w:rFonts w:cstheme="minorHAnsi"/>
          <w:sz w:val="24"/>
          <w:szCs w:val="24"/>
        </w:rPr>
        <w:t>na</w:t>
      </w:r>
      <w:proofErr w:type="gramEnd"/>
      <w:r w:rsidRPr="00BA5B90">
        <w:rPr>
          <w:rFonts w:cstheme="minorHAnsi"/>
          <w:sz w:val="24"/>
          <w:szCs w:val="24"/>
        </w:rPr>
        <w:t xml:space="preserve"> snagu osmog dana od dana objavljivanja u ‘’Službenom listu C</w:t>
      </w:r>
      <w:r w:rsidR="00245AC9" w:rsidRPr="00BA5B90">
        <w:rPr>
          <w:rFonts w:cstheme="minorHAnsi"/>
          <w:sz w:val="24"/>
          <w:szCs w:val="24"/>
        </w:rPr>
        <w:t>G</w:t>
      </w:r>
      <w:r w:rsidRPr="00BA5B90">
        <w:rPr>
          <w:rFonts w:cstheme="minorHAnsi"/>
          <w:sz w:val="24"/>
          <w:szCs w:val="24"/>
        </w:rPr>
        <w:t xml:space="preserve"> – opštinski propisi’’. </w:t>
      </w:r>
    </w:p>
    <w:p w:rsidR="00723AAA" w:rsidRDefault="00723AAA" w:rsidP="00723AAA">
      <w:pPr>
        <w:rPr>
          <w:rFonts w:cstheme="minorHAnsi"/>
          <w:sz w:val="24"/>
          <w:szCs w:val="24"/>
        </w:rPr>
      </w:pPr>
    </w:p>
    <w:p w:rsidR="00F73756" w:rsidRPr="00BA5B90" w:rsidRDefault="00F73756" w:rsidP="00723AAA">
      <w:pPr>
        <w:rPr>
          <w:rFonts w:cstheme="minorHAnsi"/>
          <w:sz w:val="24"/>
          <w:szCs w:val="24"/>
        </w:rPr>
      </w:pPr>
    </w:p>
    <w:p w:rsidR="00723AAA" w:rsidRPr="00BA5B90" w:rsidRDefault="00723AAA" w:rsidP="00723AAA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>Broj: ________</w:t>
      </w:r>
    </w:p>
    <w:p w:rsidR="00723AAA" w:rsidRPr="00BA5B90" w:rsidRDefault="00723AAA" w:rsidP="00723AAA">
      <w:pPr>
        <w:rPr>
          <w:rFonts w:cstheme="minorHAnsi"/>
          <w:sz w:val="24"/>
          <w:szCs w:val="24"/>
        </w:rPr>
      </w:pPr>
      <w:r w:rsidRPr="00BA5B90">
        <w:rPr>
          <w:rFonts w:cstheme="minorHAnsi"/>
          <w:sz w:val="24"/>
          <w:szCs w:val="24"/>
        </w:rPr>
        <w:t xml:space="preserve">Andrijevica, __________2021.godine, </w:t>
      </w:r>
    </w:p>
    <w:p w:rsidR="00245AC9" w:rsidRDefault="00245AC9" w:rsidP="00723AAA">
      <w:pPr>
        <w:jc w:val="center"/>
        <w:rPr>
          <w:rFonts w:cstheme="minorHAnsi"/>
          <w:b/>
          <w:sz w:val="24"/>
          <w:szCs w:val="24"/>
        </w:rPr>
      </w:pPr>
    </w:p>
    <w:p w:rsidR="00F73756" w:rsidRPr="00BA5B90" w:rsidRDefault="00F73756" w:rsidP="00723AAA">
      <w:pPr>
        <w:jc w:val="center"/>
        <w:rPr>
          <w:rFonts w:cstheme="minorHAnsi"/>
          <w:b/>
          <w:sz w:val="24"/>
          <w:szCs w:val="24"/>
        </w:rPr>
      </w:pPr>
    </w:p>
    <w:p w:rsidR="00723AAA" w:rsidRPr="00BA5B90" w:rsidRDefault="00723AAA" w:rsidP="00723AAA">
      <w:pPr>
        <w:jc w:val="center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>SKUPŠTINA OPŠTINE ANDRIJEVICA</w:t>
      </w:r>
    </w:p>
    <w:p w:rsidR="00BA5B90" w:rsidRPr="00BA5B90" w:rsidRDefault="00BA5B90" w:rsidP="00723AAA">
      <w:pPr>
        <w:jc w:val="center"/>
        <w:rPr>
          <w:rFonts w:cstheme="minorHAnsi"/>
          <w:b/>
          <w:sz w:val="24"/>
          <w:szCs w:val="24"/>
        </w:rPr>
      </w:pPr>
    </w:p>
    <w:p w:rsidR="00723AAA" w:rsidRPr="00BA5B90" w:rsidRDefault="00723AAA" w:rsidP="00723AAA">
      <w:pPr>
        <w:jc w:val="right"/>
        <w:rPr>
          <w:rFonts w:cstheme="minorHAnsi"/>
          <w:b/>
          <w:sz w:val="24"/>
          <w:szCs w:val="24"/>
        </w:rPr>
      </w:pPr>
      <w:r w:rsidRPr="00BA5B90">
        <w:rPr>
          <w:rFonts w:cstheme="minorHAnsi"/>
          <w:b/>
          <w:sz w:val="24"/>
          <w:szCs w:val="24"/>
        </w:rPr>
        <w:t xml:space="preserve">P r e d s j e d n i k, </w:t>
      </w:r>
    </w:p>
    <w:p w:rsidR="00723AAA" w:rsidRDefault="00723AAA" w:rsidP="00723AAA">
      <w:pPr>
        <w:jc w:val="right"/>
        <w:rPr>
          <w:rFonts w:cstheme="minorHAnsi"/>
        </w:rPr>
      </w:pPr>
      <w:bookmarkStart w:id="0" w:name="_GoBack"/>
      <w:bookmarkEnd w:id="0"/>
      <w:proofErr w:type="gramStart"/>
      <w:r w:rsidRPr="00BA5B90">
        <w:rPr>
          <w:rFonts w:cstheme="minorHAnsi"/>
        </w:rPr>
        <w:t>Mladen Đukić, s.r.</w:t>
      </w:r>
      <w:proofErr w:type="gramEnd"/>
    </w:p>
    <w:p w:rsidR="008E41CC" w:rsidRDefault="008E41CC" w:rsidP="00723AAA">
      <w:pPr>
        <w:jc w:val="right"/>
        <w:rPr>
          <w:rFonts w:cstheme="minorHAnsi"/>
        </w:rPr>
      </w:pPr>
    </w:p>
    <w:p w:rsidR="008E41CC" w:rsidRDefault="008E41CC" w:rsidP="00723AAA">
      <w:pPr>
        <w:jc w:val="right"/>
        <w:rPr>
          <w:rFonts w:cstheme="minorHAnsi"/>
        </w:rPr>
      </w:pPr>
    </w:p>
    <w:p w:rsidR="008E41CC" w:rsidRDefault="008E41CC" w:rsidP="00723AAA">
      <w:pPr>
        <w:jc w:val="right"/>
        <w:rPr>
          <w:rFonts w:cstheme="minorHAnsi"/>
        </w:rPr>
      </w:pPr>
    </w:p>
    <w:p w:rsidR="008E41CC" w:rsidRDefault="008E41CC" w:rsidP="00723AAA">
      <w:pPr>
        <w:jc w:val="right"/>
        <w:rPr>
          <w:rFonts w:cstheme="minorHAnsi"/>
        </w:rPr>
      </w:pPr>
    </w:p>
    <w:p w:rsidR="008E41CC" w:rsidRPr="00DC6504" w:rsidRDefault="008E41CC" w:rsidP="008E41CC">
      <w:pPr>
        <w:jc w:val="center"/>
        <w:rPr>
          <w:rFonts w:cstheme="minorHAnsi"/>
          <w:b/>
        </w:rPr>
      </w:pPr>
      <w:r w:rsidRPr="00DC6504">
        <w:rPr>
          <w:rFonts w:cstheme="minorHAnsi"/>
          <w:b/>
        </w:rPr>
        <w:lastRenderedPageBreak/>
        <w:t xml:space="preserve">O b r a z l o ž e </w:t>
      </w:r>
      <w:proofErr w:type="gramStart"/>
      <w:r w:rsidRPr="00DC6504">
        <w:rPr>
          <w:rFonts w:cstheme="minorHAnsi"/>
          <w:b/>
        </w:rPr>
        <w:t>nj</w:t>
      </w:r>
      <w:proofErr w:type="gramEnd"/>
      <w:r w:rsidRPr="00DC6504">
        <w:rPr>
          <w:rFonts w:cstheme="minorHAnsi"/>
          <w:b/>
        </w:rPr>
        <w:t xml:space="preserve"> e </w:t>
      </w:r>
    </w:p>
    <w:p w:rsidR="008E41CC" w:rsidRPr="00DC6504" w:rsidRDefault="008E41CC" w:rsidP="008E41CC">
      <w:pPr>
        <w:rPr>
          <w:rFonts w:cstheme="minorHAnsi"/>
          <w:b/>
        </w:rPr>
      </w:pPr>
      <w:r w:rsidRPr="00DC6504">
        <w:rPr>
          <w:rFonts w:cstheme="minorHAnsi"/>
          <w:b/>
        </w:rPr>
        <w:t>PRAVNI OSNOV</w:t>
      </w:r>
    </w:p>
    <w:p w:rsidR="008E41CC" w:rsidRDefault="008E41CC" w:rsidP="008E41CC">
      <w:pPr>
        <w:rPr>
          <w:rFonts w:cstheme="minorHAnsi"/>
        </w:rPr>
      </w:pPr>
      <w:r>
        <w:rPr>
          <w:rFonts w:cstheme="minorHAnsi"/>
        </w:rPr>
        <w:t xml:space="preserve">Pravni osnov za donošenje ove odluke sadržan je u odredbama Zakona o planiranju prostora i izgradnji objekata (‘’Službeni list CG’’, broj 64/17, 44/18, 63/18, 11/19 i 82/20), Zakona o lokalnoj samoupravi (‘’Službeni list CG’’, </w:t>
      </w:r>
      <w:proofErr w:type="gramStart"/>
      <w:r>
        <w:rPr>
          <w:rFonts w:cstheme="minorHAnsi"/>
        </w:rPr>
        <w:t>broj  2</w:t>
      </w:r>
      <w:proofErr w:type="gramEnd"/>
      <w:r>
        <w:rPr>
          <w:rFonts w:cstheme="minorHAnsi"/>
        </w:rPr>
        <w:t>/18, 34/19 i 38/20) i člana 35 Statuta Opštine Andrijevica (‘’Službeni list C</w:t>
      </w:r>
      <w:r w:rsidR="00DC6504">
        <w:rPr>
          <w:rFonts w:cstheme="minorHAnsi"/>
        </w:rPr>
        <w:t>G</w:t>
      </w:r>
      <w:r>
        <w:rPr>
          <w:rFonts w:cstheme="minorHAnsi"/>
        </w:rPr>
        <w:t xml:space="preserve"> – opštinski propisi, broj 2/18).</w:t>
      </w:r>
    </w:p>
    <w:p w:rsidR="008E41CC" w:rsidRDefault="008E41CC" w:rsidP="008E41CC">
      <w:pPr>
        <w:rPr>
          <w:rFonts w:cstheme="minorHAnsi"/>
        </w:rPr>
      </w:pPr>
      <w:proofErr w:type="gramStart"/>
      <w:r>
        <w:rPr>
          <w:rFonts w:cstheme="minorHAnsi"/>
        </w:rPr>
        <w:t>Članom 164 Zakona o planiranju prostora i izgradnji objekata propisano je da vlasnik bespravnog objekta plaća naknadu za urbanu sanaciju, koja se plaća za sve bespravne objekte.</w:t>
      </w:r>
      <w:proofErr w:type="gramEnd"/>
      <w:r>
        <w:rPr>
          <w:rFonts w:cstheme="minorHAnsi"/>
        </w:rPr>
        <w:t xml:space="preserve"> Ovim članom je propisano da naknadu utvrđuje rješenjem nadležni organ lokalne uprave, da se visina naknade obračunava po m2 neto površine objekta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osnovu elaborat</w:t>
      </w:r>
      <w:r w:rsidR="00DC6504">
        <w:rPr>
          <w:rFonts w:cstheme="minorHAnsi"/>
        </w:rPr>
        <w:t>a</w:t>
      </w:r>
      <w:r>
        <w:rPr>
          <w:rFonts w:cstheme="minorHAnsi"/>
        </w:rPr>
        <w:t xml:space="preserve"> premjera izvedenog stanja izgrađenog objekta ili dijela obje</w:t>
      </w:r>
      <w:r w:rsidR="00DC6504">
        <w:rPr>
          <w:rFonts w:cstheme="minorHAnsi"/>
        </w:rPr>
        <w:t>kita, ovjeren</w:t>
      </w:r>
      <w:r>
        <w:rPr>
          <w:rFonts w:cstheme="minorHAnsi"/>
        </w:rPr>
        <w:t>og od strane licencirane geodetske organizacije i ovjerenog od strane Katastra. Naknada se plaća u jednakim mjesečnim ratama i to: za objekte</w:t>
      </w:r>
      <w:r w:rsidR="003E7565">
        <w:rPr>
          <w:rFonts w:cstheme="minorHAnsi"/>
        </w:rPr>
        <w:t xml:space="preserve">  osnovnog stanovanja – najviše  u 240 mjsečnih rata, </w:t>
      </w:r>
      <w:r w:rsidR="00356233">
        <w:rPr>
          <w:rFonts w:cstheme="minorHAnsi"/>
        </w:rPr>
        <w:t>a</w:t>
      </w:r>
      <w:r w:rsidR="005B07EC">
        <w:rPr>
          <w:rFonts w:cstheme="minorHAnsi"/>
        </w:rPr>
        <w:t xml:space="preserve"> </w:t>
      </w:r>
      <w:r w:rsidR="00356233">
        <w:rPr>
          <w:rFonts w:cstheme="minorHAnsi"/>
        </w:rPr>
        <w:t xml:space="preserve">za ostale objekte – najviše u 120 mjesečnih rata </w:t>
      </w:r>
      <w:r w:rsidR="003E7565">
        <w:rPr>
          <w:rFonts w:cstheme="minorHAnsi"/>
        </w:rPr>
        <w:t xml:space="preserve">navedenim u zahtjevu vlasnika bespravnog objekta. Naknada se uvećava za </w:t>
      </w:r>
      <w:r w:rsidR="006B60AD">
        <w:rPr>
          <w:rFonts w:cstheme="minorHAnsi"/>
        </w:rPr>
        <w:t>iznos od 5%, ako se uvećani iznos plati jednokratno, 20% za plaćanje na rate, odnosno 2</w:t>
      </w:r>
      <w:proofErr w:type="gramStart"/>
      <w:r w:rsidR="006B60AD">
        <w:rPr>
          <w:rFonts w:cstheme="minorHAnsi"/>
        </w:rPr>
        <w:t>,5</w:t>
      </w:r>
      <w:proofErr w:type="gramEnd"/>
      <w:r w:rsidR="006B60AD">
        <w:rPr>
          <w:rFonts w:cstheme="minorHAnsi"/>
        </w:rPr>
        <w:t>% za objekte</w:t>
      </w:r>
      <w:r w:rsidR="00356233">
        <w:rPr>
          <w:rFonts w:cstheme="minorHAnsi"/>
        </w:rPr>
        <w:t xml:space="preserve"> osnovnog stanovanja</w:t>
      </w:r>
      <w:r w:rsidR="00C045B8">
        <w:rPr>
          <w:rFonts w:cstheme="minorHAnsi"/>
        </w:rPr>
        <w:t xml:space="preserve">. Visina naknade utvrđuje se u zavisnosti od zone, stepena opremljenosti građevinskog zemljišta, prosječnih troškova opremanja građevinskog zemljišta, troškova mjera urbane sanacije prostora devastiranih bespravnom gradnjom, načina plaćanja utvrđenog iznosa naknade i vrste i namjene objekta. </w:t>
      </w:r>
      <w:proofErr w:type="gramStart"/>
      <w:r w:rsidR="00C045B8">
        <w:rPr>
          <w:rFonts w:cstheme="minorHAnsi"/>
        </w:rPr>
        <w:t>Nadalje, utvrđeno</w:t>
      </w:r>
      <w:r w:rsidR="00356233">
        <w:rPr>
          <w:rFonts w:cstheme="minorHAnsi"/>
        </w:rPr>
        <w:t xml:space="preserve"> </w:t>
      </w:r>
      <w:r w:rsidR="00C045B8">
        <w:rPr>
          <w:rFonts w:cstheme="minorHAnsi"/>
        </w:rPr>
        <w:t>je pravo jedinice lokalne samouprave, da za definisane vrste bespravnih objekata u popisanom maksimalnom iznosu, mogu utvrditi svojim</w:t>
      </w:r>
      <w:r w:rsidR="00356233">
        <w:rPr>
          <w:rFonts w:cstheme="minorHAnsi"/>
        </w:rPr>
        <w:t xml:space="preserve"> </w:t>
      </w:r>
      <w:r w:rsidR="00C045B8">
        <w:rPr>
          <w:rFonts w:cstheme="minorHAnsi"/>
        </w:rPr>
        <w:t>propisom umanjenjenje naknade.</w:t>
      </w:r>
      <w:proofErr w:type="gramEnd"/>
      <w:r w:rsidR="00C045B8">
        <w:rPr>
          <w:rFonts w:cstheme="minorHAnsi"/>
        </w:rPr>
        <w:t xml:space="preserve"> Stavom 11 ovog člana propisano je da visinu, </w:t>
      </w:r>
      <w:proofErr w:type="gramStart"/>
      <w:r w:rsidR="00C045B8">
        <w:rPr>
          <w:rFonts w:cstheme="minorHAnsi"/>
        </w:rPr>
        <w:t>uslove ,</w:t>
      </w:r>
      <w:proofErr w:type="gramEnd"/>
      <w:r w:rsidR="00C045B8">
        <w:rPr>
          <w:rFonts w:cstheme="minorHAnsi"/>
        </w:rPr>
        <w:t xml:space="preserve"> način, rokove i postupak plaćanja naknade za urbanu sanaciju propisuje nadležni organ lokalne samouprave, po prethodnoj saglasnosti Vlade, dok je u stavu 12 istog člana utvrđeno da propis jedinice lokalne samouprave naročito sadrži  rokove obezbjeđivanja komunalne </w:t>
      </w:r>
      <w:r w:rsidR="00356233">
        <w:rPr>
          <w:rFonts w:cstheme="minorHAnsi"/>
        </w:rPr>
        <w:t>infrastruk</w:t>
      </w:r>
      <w:r w:rsidR="00C045B8">
        <w:rPr>
          <w:rFonts w:cstheme="minorHAnsi"/>
        </w:rPr>
        <w:t xml:space="preserve">ture od strane jedinice lokalne samouprave vlasnicima objekata koji su izmirili cjelokupni iznos naknade za urbanu sanaciju. </w:t>
      </w:r>
    </w:p>
    <w:p w:rsidR="00C045B8" w:rsidRDefault="00C045B8" w:rsidP="008E41CC">
      <w:pPr>
        <w:rPr>
          <w:rFonts w:cstheme="minorHAnsi"/>
        </w:rPr>
      </w:pPr>
      <w:r>
        <w:rPr>
          <w:rFonts w:cstheme="minorHAnsi"/>
        </w:rPr>
        <w:t>Članom 28 Zakona o lokalnoj samoupravi propisano je da opština, u okviru sopstvenih nadležnosti, uređuje, uvodi i utvrđuje sopstvene prihode u sklad</w:t>
      </w:r>
      <w:r w:rsidR="00356233">
        <w:rPr>
          <w:rFonts w:cstheme="minorHAnsi"/>
        </w:rPr>
        <w:t xml:space="preserve">u sa zakonom, dok je članom 38 </w:t>
      </w:r>
      <w:r>
        <w:rPr>
          <w:rFonts w:cstheme="minorHAnsi"/>
        </w:rPr>
        <w:t xml:space="preserve">tačka 2 i 8 utvrđeno da Skupština donosi propise i druge opšte akte i uvodi i utvrđuje opštinske poreze, takse, naknade i druge sopstvene sprihode. </w:t>
      </w:r>
    </w:p>
    <w:p w:rsidR="00C045B8" w:rsidRPr="00356233" w:rsidRDefault="00C045B8" w:rsidP="008E41CC">
      <w:pPr>
        <w:rPr>
          <w:rFonts w:cstheme="minorHAnsi"/>
          <w:b/>
        </w:rPr>
      </w:pPr>
      <w:r w:rsidRPr="00356233">
        <w:rPr>
          <w:rFonts w:cstheme="minorHAnsi"/>
          <w:b/>
        </w:rPr>
        <w:t>RAZLOG ZA DONOŠENJE</w:t>
      </w:r>
    </w:p>
    <w:p w:rsidR="00C045B8" w:rsidRDefault="00C045B8" w:rsidP="008E41CC">
      <w:pPr>
        <w:rPr>
          <w:rFonts w:cstheme="minorHAnsi"/>
        </w:rPr>
      </w:pPr>
      <w:r>
        <w:rPr>
          <w:rFonts w:cstheme="minorHAnsi"/>
        </w:rPr>
        <w:t xml:space="preserve">Skupština Crne Gore je donijela Zakon o izmjenama i dopunama Zakona o planiranju prostora izgradnji objekata koji je stupio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snagu 14. </w:t>
      </w:r>
      <w:proofErr w:type="gramStart"/>
      <w:r w:rsidR="00837A21">
        <w:rPr>
          <w:rFonts w:cstheme="minorHAnsi"/>
        </w:rPr>
        <w:t>a</w:t>
      </w:r>
      <w:r>
        <w:rPr>
          <w:rFonts w:cstheme="minorHAnsi"/>
        </w:rPr>
        <w:t>vgusta</w:t>
      </w:r>
      <w:proofErr w:type="gramEnd"/>
      <w:r>
        <w:rPr>
          <w:rFonts w:cstheme="minorHAnsi"/>
        </w:rPr>
        <w:t xml:space="preserve"> 2020. </w:t>
      </w:r>
      <w:proofErr w:type="gramStart"/>
      <w:r w:rsidR="00837A21">
        <w:rPr>
          <w:rFonts w:cstheme="minorHAnsi"/>
        </w:rPr>
        <w:t>g</w:t>
      </w:r>
      <w:r>
        <w:rPr>
          <w:rFonts w:cstheme="minorHAnsi"/>
        </w:rPr>
        <w:t>odine</w:t>
      </w:r>
      <w:proofErr w:type="gramEnd"/>
      <w:r>
        <w:rPr>
          <w:rFonts w:cstheme="minorHAnsi"/>
        </w:rPr>
        <w:t>. Ovim Zakonom je, između ostalog izvr</w:t>
      </w:r>
      <w:r w:rsidR="005B07EC">
        <w:rPr>
          <w:rFonts w:cstheme="minorHAnsi"/>
        </w:rPr>
        <w:t>š</w:t>
      </w:r>
      <w:r>
        <w:rPr>
          <w:rFonts w:cstheme="minorHAnsi"/>
        </w:rPr>
        <w:t xml:space="preserve">ena transformacija naknade za komunalno opremanje građevinskog zemljišta za bespravne objekte u naknadu za urbanu sanaciju, koji kao prihod uvodi jedinica lokalne samouprave, kojoj je dato ovlašćenje </w:t>
      </w:r>
      <w:r w:rsidR="00837A21">
        <w:rPr>
          <w:rFonts w:cstheme="minorHAnsi"/>
        </w:rPr>
        <w:t>da utvrdi ovaj prihod donošenje</w:t>
      </w:r>
      <w:r>
        <w:rPr>
          <w:rFonts w:cstheme="minorHAnsi"/>
        </w:rPr>
        <w:t xml:space="preserve">m opštinskog propisa – odluke kojom će se propisati uslovi, način, rokovi i postupak plaćanja naknade za urbanu sanaciju. </w:t>
      </w:r>
    </w:p>
    <w:p w:rsidR="005B0AA8" w:rsidRDefault="005B0AA8" w:rsidP="008E41CC">
      <w:pPr>
        <w:rPr>
          <w:rFonts w:cstheme="minorHAnsi"/>
        </w:rPr>
      </w:pPr>
    </w:p>
    <w:p w:rsidR="00A35DAB" w:rsidRPr="00837A21" w:rsidRDefault="005B0AA8" w:rsidP="008E41CC">
      <w:pPr>
        <w:rPr>
          <w:rFonts w:cstheme="minorHAnsi"/>
          <w:b/>
        </w:rPr>
      </w:pPr>
      <w:r w:rsidRPr="00837A21">
        <w:rPr>
          <w:rFonts w:cstheme="minorHAnsi"/>
          <w:b/>
        </w:rPr>
        <w:lastRenderedPageBreak/>
        <w:t>OBJAŠNJENJE OSNOVNIH PRAVNIH INSTITUTA</w:t>
      </w:r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>Poglavlje I – Osnovne odredbe</w:t>
      </w:r>
    </w:p>
    <w:p w:rsidR="00460C13" w:rsidRDefault="00460C13" w:rsidP="008E41CC">
      <w:pPr>
        <w:rPr>
          <w:rFonts w:cstheme="minorHAnsi"/>
        </w:rPr>
      </w:pPr>
      <w:proofErr w:type="gramStart"/>
      <w:r>
        <w:rPr>
          <w:rFonts w:cstheme="minorHAnsi"/>
        </w:rPr>
        <w:t>Članom 1 utvrđeno je da se ovom odlukom propisuju visina, uslovi, način, rokovi i postupak plaćanja naknade za urbanu sanaciju.</w:t>
      </w:r>
      <w:proofErr w:type="gramEnd"/>
      <w:r>
        <w:rPr>
          <w:rFonts w:cstheme="minorHAnsi"/>
        </w:rPr>
        <w:t xml:space="preserve"> </w:t>
      </w:r>
    </w:p>
    <w:p w:rsidR="00460C13" w:rsidRDefault="00460C13" w:rsidP="008E41CC">
      <w:pPr>
        <w:rPr>
          <w:rFonts w:cstheme="minorHAnsi"/>
        </w:rPr>
      </w:pPr>
      <w:proofErr w:type="gramStart"/>
      <w:r>
        <w:rPr>
          <w:rFonts w:cstheme="minorHAnsi"/>
        </w:rPr>
        <w:t>Članom 2 primijenjene su odredbe Zakona o rodnoj ravnopravnosti.</w:t>
      </w:r>
      <w:proofErr w:type="gramEnd"/>
      <w:r>
        <w:rPr>
          <w:rFonts w:cstheme="minorHAnsi"/>
        </w:rPr>
        <w:t xml:space="preserve"> </w:t>
      </w:r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 xml:space="preserve">Članom 3 propisano je da naknadu plaća vlasnik bespravnog objekta koja se obračunava po m2 neto površine objekta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osnovu elaborata, predmera izvedenog stanja izgrađenog objekta ili dijela objekta urađenog od stane licencirane geodetske organizacije. </w:t>
      </w:r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 xml:space="preserve">Članom 4 – popisani su kriterijumi na osnovu kojih se utvrđuje </w:t>
      </w:r>
      <w:proofErr w:type="gramStart"/>
      <w:r>
        <w:rPr>
          <w:rFonts w:cstheme="minorHAnsi"/>
        </w:rPr>
        <w:t>naknada  saglasno</w:t>
      </w:r>
      <w:proofErr w:type="gramEnd"/>
      <w:r>
        <w:rPr>
          <w:rFonts w:cstheme="minorHAnsi"/>
        </w:rPr>
        <w:t xml:space="preserve"> članu 164 stav</w:t>
      </w:r>
      <w:r w:rsidR="00837A21">
        <w:rPr>
          <w:rFonts w:cstheme="minorHAnsi"/>
        </w:rPr>
        <w:t xml:space="preserve"> </w:t>
      </w:r>
      <w:r>
        <w:rPr>
          <w:rFonts w:cstheme="minorHAnsi"/>
        </w:rPr>
        <w:t xml:space="preserve">4 Zakona o planiranju prostora i izgradnji objekata. </w:t>
      </w:r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 xml:space="preserve">Članom 5 – utvrđene su zone na osnovu stepena opremljenosti građevinskog zemljišta u zahvatu </w:t>
      </w:r>
      <w:proofErr w:type="gramStart"/>
      <w:r>
        <w:rPr>
          <w:rFonts w:cstheme="minorHAnsi"/>
        </w:rPr>
        <w:t>planskih  dokumenata</w:t>
      </w:r>
      <w:proofErr w:type="gramEnd"/>
      <w:r>
        <w:rPr>
          <w:rFonts w:cstheme="minorHAnsi"/>
        </w:rPr>
        <w:t xml:space="preserve">. </w:t>
      </w:r>
    </w:p>
    <w:p w:rsidR="00460C13" w:rsidRDefault="00460C13" w:rsidP="008E41CC">
      <w:pPr>
        <w:rPr>
          <w:rFonts w:cstheme="minorHAnsi"/>
        </w:rPr>
      </w:pPr>
      <w:proofErr w:type="gramStart"/>
      <w:r>
        <w:rPr>
          <w:rFonts w:cstheme="minorHAnsi"/>
        </w:rPr>
        <w:t>Članom 6 propisana je visina naknade po zonama.</w:t>
      </w:r>
      <w:proofErr w:type="gramEnd"/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 xml:space="preserve">Članom 7 propisani su troškovi opremanja građevinskog zemljišta </w:t>
      </w:r>
      <w:proofErr w:type="gramStart"/>
      <w:r>
        <w:rPr>
          <w:rFonts w:cstheme="minorHAnsi"/>
        </w:rPr>
        <w:t>sa</w:t>
      </w:r>
      <w:proofErr w:type="gramEnd"/>
      <w:r>
        <w:rPr>
          <w:rFonts w:cstheme="minorHAnsi"/>
        </w:rPr>
        <w:t xml:space="preserve"> troškovima mjera urbane sanacije prostora koji je devastiran bespravnom gradnjom. </w:t>
      </w:r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 xml:space="preserve">Članom 8 propisan je iznos naknade po m2 neto površine bespravnog objekta po zonama, kao i prosječni troškovi opremanja građevinskog zemljišta </w:t>
      </w:r>
      <w:proofErr w:type="gramStart"/>
      <w:r>
        <w:rPr>
          <w:rFonts w:cstheme="minorHAnsi"/>
        </w:rPr>
        <w:t>sa</w:t>
      </w:r>
      <w:proofErr w:type="gramEnd"/>
      <w:r>
        <w:rPr>
          <w:rFonts w:cstheme="minorHAnsi"/>
        </w:rPr>
        <w:t xml:space="preserve"> iznosima naknade po zonama za umanjenje i uvećanje naknade prema vrsti namjeni bespravnih objekata primijenjujući član 163 naprijed citiranog</w:t>
      </w:r>
      <w:r w:rsidR="00837A21">
        <w:rPr>
          <w:rFonts w:cstheme="minorHAnsi"/>
        </w:rPr>
        <w:t xml:space="preserve"> </w:t>
      </w:r>
      <w:r>
        <w:rPr>
          <w:rFonts w:cstheme="minorHAnsi"/>
        </w:rPr>
        <w:t>zako</w:t>
      </w:r>
      <w:r w:rsidR="00837A21">
        <w:rPr>
          <w:rFonts w:cstheme="minorHAnsi"/>
        </w:rPr>
        <w:t xml:space="preserve">na, kao i umanjenje naknade za </w:t>
      </w:r>
      <w:r>
        <w:rPr>
          <w:rFonts w:cstheme="minorHAnsi"/>
        </w:rPr>
        <w:t xml:space="preserve">jednokratno plaćanje.  </w:t>
      </w:r>
    </w:p>
    <w:p w:rsidR="00460C13" w:rsidRDefault="00460C13" w:rsidP="008E41CC">
      <w:pPr>
        <w:rPr>
          <w:rFonts w:cstheme="minorHAnsi"/>
        </w:rPr>
      </w:pPr>
      <w:proofErr w:type="gramStart"/>
      <w:r>
        <w:rPr>
          <w:rFonts w:cstheme="minorHAnsi"/>
        </w:rPr>
        <w:t>Članom 9 propisani su visina, način i rokovi plaćanja naknade, rok za donošenje rješenja organa nadležnog za legalizaciju objekata.</w:t>
      </w:r>
      <w:proofErr w:type="gramEnd"/>
      <w:r>
        <w:rPr>
          <w:rFonts w:cstheme="minorHAnsi"/>
        </w:rPr>
        <w:t xml:space="preserve"> </w:t>
      </w:r>
    </w:p>
    <w:p w:rsidR="00460C13" w:rsidRDefault="00460C13" w:rsidP="008E41CC">
      <w:pPr>
        <w:rPr>
          <w:rFonts w:cstheme="minorHAnsi"/>
        </w:rPr>
      </w:pPr>
      <w:r>
        <w:rPr>
          <w:rFonts w:cstheme="minorHAnsi"/>
        </w:rPr>
        <w:t xml:space="preserve">Članom 10 propisana je uplata naknade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žiro račun opštine Andrijevica, obračun redovne i zatezne kamate, kao i sva pitanja koja regulišu naplatu naknade u ratama ili jednokratno. </w:t>
      </w:r>
    </w:p>
    <w:p w:rsidR="00460C13" w:rsidRDefault="006E32E7" w:rsidP="008E41CC">
      <w:pPr>
        <w:rPr>
          <w:rFonts w:cstheme="minorHAnsi"/>
        </w:rPr>
      </w:pPr>
      <w:r>
        <w:rPr>
          <w:rFonts w:cstheme="minorHAnsi"/>
        </w:rPr>
        <w:t>Članom 11 propis</w:t>
      </w:r>
      <w:r w:rsidR="00016D09">
        <w:rPr>
          <w:rFonts w:cstheme="minorHAnsi"/>
        </w:rPr>
        <w:t xml:space="preserve">ana je naplata naknade u ratama, utvrđivanje redovne i zatezne kamate, obezbjeđivanje potraživanja </w:t>
      </w:r>
      <w:proofErr w:type="gramStart"/>
      <w:r w:rsidR="00016D09">
        <w:rPr>
          <w:rFonts w:cstheme="minorHAnsi"/>
        </w:rPr>
        <w:t>sa</w:t>
      </w:r>
      <w:proofErr w:type="gramEnd"/>
      <w:r w:rsidR="00837A21">
        <w:rPr>
          <w:rFonts w:cstheme="minorHAnsi"/>
        </w:rPr>
        <w:t xml:space="preserve"> </w:t>
      </w:r>
      <w:r w:rsidR="00016D09">
        <w:rPr>
          <w:rFonts w:cstheme="minorHAnsi"/>
        </w:rPr>
        <w:t xml:space="preserve">upisom hipoteke na bespravni objekat, kao i druga pitanja koja regulišu ovu oblast. </w:t>
      </w:r>
    </w:p>
    <w:p w:rsidR="00016D09" w:rsidRDefault="00016D09" w:rsidP="008E41CC">
      <w:pPr>
        <w:rPr>
          <w:rFonts w:cstheme="minorHAnsi"/>
        </w:rPr>
      </w:pPr>
      <w:r>
        <w:rPr>
          <w:rFonts w:cstheme="minorHAnsi"/>
        </w:rPr>
        <w:t>Članom 12 propisan</w:t>
      </w:r>
      <w:r w:rsidR="00837A21">
        <w:rPr>
          <w:rFonts w:cstheme="minorHAnsi"/>
        </w:rPr>
        <w:t>i su</w:t>
      </w:r>
      <w:r>
        <w:rPr>
          <w:rFonts w:cstheme="minorHAnsi"/>
        </w:rPr>
        <w:t xml:space="preserve"> način i kontrola naplate naknade da istu vrši organ lokalne uprave nadležan za naplatu lokalnih javnih prihoda, </w:t>
      </w:r>
      <w:proofErr w:type="gramStart"/>
      <w:r>
        <w:rPr>
          <w:rFonts w:cstheme="minorHAnsi"/>
        </w:rPr>
        <w:t>te</w:t>
      </w:r>
      <w:proofErr w:type="gramEnd"/>
      <w:r w:rsidR="00837A21">
        <w:rPr>
          <w:rFonts w:cstheme="minorHAnsi"/>
        </w:rPr>
        <w:t xml:space="preserve"> </w:t>
      </w:r>
      <w:r>
        <w:rPr>
          <w:rFonts w:cstheme="minorHAnsi"/>
        </w:rPr>
        <w:t xml:space="preserve">da se u postupku i načinu utvrđivanja naknade, žalbe, rokovi, prinudne naplate, kamate i ostala pitanja koja nijesu uređena ovom odlukom primjenjuje zakon kojim je uređen poresti postupak. </w:t>
      </w:r>
    </w:p>
    <w:p w:rsidR="000A3E51" w:rsidRDefault="000A3E51" w:rsidP="008E41CC">
      <w:pPr>
        <w:rPr>
          <w:rFonts w:cstheme="minorHAnsi"/>
        </w:rPr>
      </w:pPr>
      <w:proofErr w:type="gramStart"/>
      <w:r>
        <w:rPr>
          <w:rFonts w:cstheme="minorHAnsi"/>
        </w:rPr>
        <w:t>Članom 13 propisano je da je Opština Andrijevica dužna da za objekat čiji su vlasnici izmirili cjelokupan iznos naknade obezbijedi nedostajuću komunalnu infrastrukturu.</w:t>
      </w:r>
      <w:proofErr w:type="gramEnd"/>
      <w:r>
        <w:rPr>
          <w:rFonts w:cstheme="minorHAnsi"/>
        </w:rPr>
        <w:t xml:space="preserve"> </w:t>
      </w:r>
    </w:p>
    <w:p w:rsidR="00287D99" w:rsidRDefault="00287D99" w:rsidP="008E41CC">
      <w:pPr>
        <w:rPr>
          <w:rFonts w:cstheme="minorHAnsi"/>
        </w:rPr>
      </w:pPr>
      <w:r>
        <w:rPr>
          <w:rFonts w:cstheme="minorHAnsi"/>
        </w:rPr>
        <w:lastRenderedPageBreak/>
        <w:t xml:space="preserve">Članom 14 </w:t>
      </w:r>
      <w:r w:rsidR="00813FCF">
        <w:rPr>
          <w:rFonts w:cstheme="minorHAnsi"/>
        </w:rPr>
        <w:t xml:space="preserve">propisano </w:t>
      </w:r>
      <w:r>
        <w:rPr>
          <w:rFonts w:cstheme="minorHAnsi"/>
        </w:rPr>
        <w:t xml:space="preserve">je da nadzor </w:t>
      </w:r>
      <w:proofErr w:type="gramStart"/>
      <w:r>
        <w:rPr>
          <w:rFonts w:cstheme="minorHAnsi"/>
        </w:rPr>
        <w:t>nad</w:t>
      </w:r>
      <w:proofErr w:type="gramEnd"/>
      <w:r>
        <w:rPr>
          <w:rFonts w:cstheme="minorHAnsi"/>
        </w:rPr>
        <w:t xml:space="preserve"> sprovođenjem ove odluke vrši organ lokalne uprave nadležan za poslove naplate i kontrole javnih prihoda.</w:t>
      </w:r>
    </w:p>
    <w:p w:rsidR="00287D99" w:rsidRDefault="00287D99" w:rsidP="00287D99">
      <w:pPr>
        <w:rPr>
          <w:rFonts w:cstheme="minorHAnsi"/>
        </w:rPr>
      </w:pPr>
      <w:r>
        <w:rPr>
          <w:rFonts w:cstheme="minorHAnsi"/>
        </w:rPr>
        <w:t xml:space="preserve">Članom 15 </w:t>
      </w:r>
      <w:proofErr w:type="gramStart"/>
      <w:r>
        <w:rPr>
          <w:rFonts w:cstheme="minorHAnsi"/>
        </w:rPr>
        <w:t>pr</w:t>
      </w:r>
      <w:r w:rsidR="00813FCF">
        <w:rPr>
          <w:rFonts w:cstheme="minorHAnsi"/>
        </w:rPr>
        <w:t xml:space="preserve">opisano </w:t>
      </w:r>
      <w:r>
        <w:rPr>
          <w:rFonts w:cstheme="minorHAnsi"/>
        </w:rPr>
        <w:t xml:space="preserve"> je</w:t>
      </w:r>
      <w:proofErr w:type="gramEnd"/>
      <w:r>
        <w:rPr>
          <w:rFonts w:cstheme="minorHAnsi"/>
        </w:rPr>
        <w:t xml:space="preserve"> da ova odluka stupa na snagu osmog dana od dana objavljivanja u ‘’Službenom listu CG – opštinski propisi’’. </w:t>
      </w:r>
    </w:p>
    <w:p w:rsidR="00287D99" w:rsidRDefault="00287D99" w:rsidP="00287D99">
      <w:pPr>
        <w:rPr>
          <w:rFonts w:cstheme="minorHAnsi"/>
        </w:rPr>
      </w:pPr>
    </w:p>
    <w:p w:rsidR="00287D99" w:rsidRDefault="00287D99" w:rsidP="00287D99">
      <w:pPr>
        <w:rPr>
          <w:rFonts w:cstheme="minorHAnsi"/>
        </w:rPr>
      </w:pPr>
      <w:proofErr w:type="gramStart"/>
      <w:r>
        <w:rPr>
          <w:rFonts w:cstheme="minorHAnsi"/>
        </w:rPr>
        <w:t>Sa</w:t>
      </w:r>
      <w:proofErr w:type="gramEnd"/>
      <w:r>
        <w:rPr>
          <w:rFonts w:cstheme="minorHAnsi"/>
        </w:rPr>
        <w:t xml:space="preserve"> svega naprijed izloženog predlažemo Skupštini opštine Andrijevica da usvoji Odluku o naknadi za urbanu sanaciju kao u datom tekstu. </w:t>
      </w:r>
    </w:p>
    <w:p w:rsidR="00287D99" w:rsidRDefault="00287D99" w:rsidP="00287D99">
      <w:pPr>
        <w:jc w:val="center"/>
        <w:rPr>
          <w:rFonts w:cstheme="minorHAnsi"/>
          <w:b/>
        </w:rPr>
      </w:pPr>
    </w:p>
    <w:p w:rsidR="00287D99" w:rsidRDefault="00287D99" w:rsidP="00287D99">
      <w:pPr>
        <w:jc w:val="center"/>
        <w:rPr>
          <w:rFonts w:cstheme="minorHAnsi"/>
          <w:b/>
        </w:rPr>
      </w:pPr>
    </w:p>
    <w:p w:rsidR="00287D99" w:rsidRPr="00287D99" w:rsidRDefault="00287D99" w:rsidP="00287D99">
      <w:pPr>
        <w:jc w:val="center"/>
        <w:rPr>
          <w:rFonts w:cstheme="minorHAnsi"/>
          <w:b/>
          <w:sz w:val="28"/>
          <w:szCs w:val="28"/>
        </w:rPr>
      </w:pPr>
      <w:r w:rsidRPr="00287D99">
        <w:rPr>
          <w:rFonts w:cstheme="minorHAnsi"/>
          <w:b/>
          <w:sz w:val="28"/>
          <w:szCs w:val="28"/>
        </w:rPr>
        <w:t>Sekretarijat lokalne uprave</w:t>
      </w:r>
    </w:p>
    <w:p w:rsidR="00287D99" w:rsidRDefault="00287D99" w:rsidP="00287D99">
      <w:pPr>
        <w:jc w:val="center"/>
        <w:rPr>
          <w:rFonts w:cstheme="minorHAnsi"/>
        </w:rPr>
      </w:pPr>
    </w:p>
    <w:p w:rsidR="005B0AA8" w:rsidRPr="00BA5B90" w:rsidRDefault="005B0AA8" w:rsidP="008E41CC">
      <w:pPr>
        <w:rPr>
          <w:rFonts w:cstheme="minorHAnsi"/>
        </w:rPr>
      </w:pPr>
    </w:p>
    <w:sectPr w:rsidR="005B0AA8" w:rsidRPr="00BA5B90" w:rsidSect="0069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717"/>
    <w:multiLevelType w:val="hybridMultilevel"/>
    <w:tmpl w:val="87347D32"/>
    <w:lvl w:ilvl="0" w:tplc="C1CC2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7E03"/>
    <w:rsid w:val="00016D09"/>
    <w:rsid w:val="000A09AF"/>
    <w:rsid w:val="000A3E51"/>
    <w:rsid w:val="000F0047"/>
    <w:rsid w:val="000F6C04"/>
    <w:rsid w:val="0010460A"/>
    <w:rsid w:val="00135611"/>
    <w:rsid w:val="001A0116"/>
    <w:rsid w:val="00210452"/>
    <w:rsid w:val="002257F7"/>
    <w:rsid w:val="00245AC9"/>
    <w:rsid w:val="00287D99"/>
    <w:rsid w:val="002912D7"/>
    <w:rsid w:val="002A4CA5"/>
    <w:rsid w:val="002F28E0"/>
    <w:rsid w:val="00356233"/>
    <w:rsid w:val="00372E7B"/>
    <w:rsid w:val="00394999"/>
    <w:rsid w:val="003C53D7"/>
    <w:rsid w:val="003E1965"/>
    <w:rsid w:val="003E7565"/>
    <w:rsid w:val="00426E82"/>
    <w:rsid w:val="00453BD9"/>
    <w:rsid w:val="00460C13"/>
    <w:rsid w:val="004C6035"/>
    <w:rsid w:val="005235B6"/>
    <w:rsid w:val="0056682E"/>
    <w:rsid w:val="005B07EC"/>
    <w:rsid w:val="005B0AA8"/>
    <w:rsid w:val="005E2BE6"/>
    <w:rsid w:val="00696808"/>
    <w:rsid w:val="006B60AD"/>
    <w:rsid w:val="006E32E7"/>
    <w:rsid w:val="00706158"/>
    <w:rsid w:val="00723AAA"/>
    <w:rsid w:val="007C504F"/>
    <w:rsid w:val="00813FCF"/>
    <w:rsid w:val="00822AAC"/>
    <w:rsid w:val="00837A21"/>
    <w:rsid w:val="008E41CC"/>
    <w:rsid w:val="0098474D"/>
    <w:rsid w:val="00A35DAB"/>
    <w:rsid w:val="00A8717B"/>
    <w:rsid w:val="00A96046"/>
    <w:rsid w:val="00BA5B90"/>
    <w:rsid w:val="00BB0BBF"/>
    <w:rsid w:val="00C045B8"/>
    <w:rsid w:val="00C25595"/>
    <w:rsid w:val="00C85086"/>
    <w:rsid w:val="00CF3104"/>
    <w:rsid w:val="00D15E69"/>
    <w:rsid w:val="00D34BEC"/>
    <w:rsid w:val="00D54504"/>
    <w:rsid w:val="00D67E03"/>
    <w:rsid w:val="00D93022"/>
    <w:rsid w:val="00DC6504"/>
    <w:rsid w:val="00E37062"/>
    <w:rsid w:val="00F73756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04"/>
    <w:pPr>
      <w:ind w:left="720"/>
      <w:contextualSpacing/>
    </w:pPr>
  </w:style>
  <w:style w:type="table" w:styleId="TableGrid">
    <w:name w:val="Table Grid"/>
    <w:basedOn w:val="TableNormal"/>
    <w:uiPriority w:val="59"/>
    <w:rsid w:val="003C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EC7C-3910-42F2-90C8-ECBC98ED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2021-09-07T08:46:00Z</cp:lastPrinted>
  <dcterms:created xsi:type="dcterms:W3CDTF">2021-01-14T09:05:00Z</dcterms:created>
  <dcterms:modified xsi:type="dcterms:W3CDTF">2021-09-07T09:07:00Z</dcterms:modified>
</cp:coreProperties>
</file>